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760EAC" w14:textId="77777777" w:rsidR="0001640C" w:rsidRDefault="0001640C">
      <w:bookmarkStart w:id="0" w:name="_GoBack"/>
      <w:bookmarkEnd w:id="0"/>
    </w:p>
    <w:p w14:paraId="301DBDD1" w14:textId="77777777" w:rsidR="0001640C" w:rsidRDefault="004B4533">
      <w:pPr>
        <w:jc w:val="center"/>
        <w:rPr>
          <w:rFonts w:ascii="Times New Roman" w:eastAsia="Times New Roman" w:hAnsi="Times New Roman" w:cs="Times New Roman"/>
          <w:b/>
        </w:rPr>
      </w:pPr>
      <w:r>
        <w:rPr>
          <w:rFonts w:ascii="Times New Roman" w:eastAsia="Times New Roman" w:hAnsi="Times New Roman" w:cs="Times New Roman"/>
          <w:b/>
        </w:rPr>
        <w:t>MEMORANDO</w:t>
      </w:r>
    </w:p>
    <w:p w14:paraId="0007D2E5" w14:textId="77777777" w:rsidR="0001640C" w:rsidRDefault="0001640C">
      <w:pPr>
        <w:rPr>
          <w:rFonts w:ascii="Times New Roman" w:eastAsia="Times New Roman" w:hAnsi="Times New Roman" w:cs="Times New Roman"/>
        </w:rPr>
      </w:pPr>
    </w:p>
    <w:p w14:paraId="4732581C" w14:textId="1B567509" w:rsidR="0001640C" w:rsidRDefault="004B4533">
      <w:pPr>
        <w:rPr>
          <w:rFonts w:ascii="Times New Roman" w:eastAsia="Times New Roman" w:hAnsi="Times New Roman" w:cs="Times New Roman"/>
        </w:rPr>
      </w:pPr>
      <w:r>
        <w:rPr>
          <w:rFonts w:ascii="Times New Roman" w:eastAsia="Times New Roman" w:hAnsi="Times New Roman" w:cs="Times New Roman"/>
        </w:rPr>
        <w:t>PARA:</w:t>
      </w:r>
      <w:r>
        <w:rPr>
          <w:rFonts w:ascii="Times New Roman" w:eastAsia="Times New Roman" w:hAnsi="Times New Roman" w:cs="Times New Roman"/>
        </w:rPr>
        <w:tab/>
        <w:t xml:space="preserve">            Dra. Luz Angélica </w:t>
      </w:r>
      <w:r w:rsidR="009903F9">
        <w:rPr>
          <w:rFonts w:ascii="Times New Roman" w:eastAsia="Times New Roman" w:hAnsi="Times New Roman" w:cs="Times New Roman"/>
        </w:rPr>
        <w:t>Vizcaíno</w:t>
      </w:r>
      <w:r>
        <w:rPr>
          <w:rFonts w:ascii="Times New Roman" w:eastAsia="Times New Roman" w:hAnsi="Times New Roman" w:cs="Times New Roman"/>
        </w:rPr>
        <w:t xml:space="preserve"> Solano</w:t>
      </w:r>
    </w:p>
    <w:p w14:paraId="716AF77F"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ab/>
        <w:t xml:space="preserve">            Secretaria General Organismo de Control </w:t>
      </w:r>
    </w:p>
    <w:p w14:paraId="2FA5BBFF" w14:textId="77777777" w:rsidR="0001640C" w:rsidRDefault="0001640C">
      <w:pPr>
        <w:rPr>
          <w:rFonts w:ascii="Times New Roman" w:eastAsia="Times New Roman" w:hAnsi="Times New Roman" w:cs="Times New Roman"/>
        </w:rPr>
      </w:pPr>
    </w:p>
    <w:p w14:paraId="0429FF08"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DE: </w:t>
      </w:r>
      <w:r>
        <w:rPr>
          <w:rFonts w:ascii="Times New Roman" w:eastAsia="Times New Roman" w:hAnsi="Times New Roman" w:cs="Times New Roman"/>
        </w:rPr>
        <w:tab/>
        <w:t xml:space="preserve">            Hs. Cs.</w:t>
      </w:r>
      <w:r>
        <w:rPr>
          <w:rFonts w:ascii="Times New Roman" w:eastAsia="Times New Roman" w:hAnsi="Times New Roman" w:cs="Times New Roman"/>
        </w:rPr>
        <w:tab/>
        <w:t>Emel Rojas Castillo</w:t>
      </w:r>
      <w:r>
        <w:rPr>
          <w:rFonts w:ascii="Times New Roman" w:eastAsia="Times New Roman" w:hAnsi="Times New Roman" w:cs="Times New Roman"/>
        </w:rPr>
        <w:tab/>
      </w:r>
    </w:p>
    <w:p w14:paraId="5A297DC4"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Juan Daniel Oviedo Arango</w:t>
      </w:r>
    </w:p>
    <w:p w14:paraId="04CABA53"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Armando Gutiérrez González</w:t>
      </w:r>
    </w:p>
    <w:p w14:paraId="705AA7C4"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Samir José Abisambra Vesga</w:t>
      </w:r>
    </w:p>
    <w:p w14:paraId="60E2EB15"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w:t>
      </w:r>
    </w:p>
    <w:p w14:paraId="7C617F95" w14:textId="77777777" w:rsidR="0001640C" w:rsidRDefault="0001640C">
      <w:pPr>
        <w:rPr>
          <w:rFonts w:ascii="Times New Roman" w:eastAsia="Times New Roman" w:hAnsi="Times New Roman" w:cs="Times New Roman"/>
        </w:rPr>
      </w:pPr>
    </w:p>
    <w:p w14:paraId="43687A1B"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ASUNTO: </w:t>
      </w:r>
      <w:r>
        <w:rPr>
          <w:rFonts w:ascii="Times New Roman" w:eastAsia="Times New Roman" w:hAnsi="Times New Roman" w:cs="Times New Roman"/>
        </w:rPr>
        <w:tab/>
        <w:t>Presentación Proyecto de Acuerdo</w:t>
      </w:r>
    </w:p>
    <w:p w14:paraId="1A2124C5" w14:textId="77777777" w:rsidR="0001640C" w:rsidRDefault="0001640C">
      <w:pPr>
        <w:rPr>
          <w:rFonts w:ascii="Times New Roman" w:eastAsia="Times New Roman" w:hAnsi="Times New Roman" w:cs="Times New Roman"/>
        </w:rPr>
      </w:pPr>
    </w:p>
    <w:p w14:paraId="048C4D92" w14:textId="77777777" w:rsidR="0001640C" w:rsidRDefault="0001640C">
      <w:pPr>
        <w:jc w:val="both"/>
        <w:rPr>
          <w:rFonts w:ascii="Times New Roman" w:eastAsia="Times New Roman" w:hAnsi="Times New Roman" w:cs="Times New Roman"/>
        </w:rPr>
      </w:pPr>
    </w:p>
    <w:p w14:paraId="15888FC4" w14:textId="7F6A004D"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Por medio del presente, y de conformidad con lo dispuesto en los artículos 65, 66 y 67 del Acuerdo 741 de 2019 “Reglamento Interno del Concejo de Bogotá D.C.”, presentamos a consideración de la Corporación el Proyecto de Acuerdo </w:t>
      </w:r>
      <w:r w:rsidR="00DB7D88">
        <w:rPr>
          <w:rFonts w:ascii="Times New Roman" w:eastAsia="Times New Roman" w:hAnsi="Times New Roman" w:cs="Times New Roman"/>
        </w:rPr>
        <w:t>“</w:t>
      </w:r>
      <w:r w:rsidR="00DB7D88">
        <w:rPr>
          <w:rFonts w:ascii="Times New Roman" w:eastAsia="Times New Roman" w:hAnsi="Times New Roman" w:cs="Times New Roman"/>
          <w:b/>
          <w:i/>
        </w:rPr>
        <w:t>POR EL CUAL SE RINDE HOMENAJE EN EL CONCEJO DE BOGOTÁ A LA HEROÍNA COLOMBIANA POLICARPA SALAVARRIETA, QUIEN CUMPLIÓ UN PAPEL DESTACADO EN DISTINTOS PROCESOS HISTÓRICOS DE COLOMBIA Y DE LA CIUDAD DE BOGOTÁ D.C.”</w:t>
      </w:r>
      <w:r>
        <w:rPr>
          <w:rFonts w:ascii="Times New Roman" w:eastAsia="Times New Roman" w:hAnsi="Times New Roman" w:cs="Times New Roman"/>
        </w:rPr>
        <w:t>, para que por favor surta el trámite correspondiente para las sesiones ordinarias del mes de mayo.</w:t>
      </w:r>
    </w:p>
    <w:p w14:paraId="33000EBF"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w:t>
      </w:r>
    </w:p>
    <w:p w14:paraId="2442863D"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Con un atento saludo,</w:t>
      </w:r>
    </w:p>
    <w:p w14:paraId="27248543" w14:textId="77777777" w:rsidR="0001640C" w:rsidRDefault="0001640C">
      <w:pPr>
        <w:rPr>
          <w:rFonts w:ascii="Times New Roman" w:eastAsia="Times New Roman" w:hAnsi="Times New Roman" w:cs="Times New Roman"/>
        </w:rPr>
      </w:pPr>
    </w:p>
    <w:p w14:paraId="4467BF67" w14:textId="77777777" w:rsidR="0001640C" w:rsidRDefault="0001640C">
      <w:pPr>
        <w:jc w:val="both"/>
        <w:rPr>
          <w:rFonts w:ascii="Times New Roman" w:eastAsia="Times New Roman" w:hAnsi="Times New Roman" w:cs="Times New Roman"/>
        </w:rPr>
      </w:pPr>
    </w:p>
    <w:p w14:paraId="5B269EC5" w14:textId="77777777" w:rsidR="0001640C" w:rsidRDefault="0001640C">
      <w:pPr>
        <w:jc w:val="both"/>
        <w:rPr>
          <w:rFonts w:ascii="Times New Roman" w:eastAsia="Times New Roman" w:hAnsi="Times New Roman" w:cs="Times New Roman"/>
        </w:rPr>
      </w:pPr>
    </w:p>
    <w:p w14:paraId="73A5C8ED" w14:textId="77777777" w:rsidR="0001640C" w:rsidRDefault="004B4533">
      <w:pPr>
        <w:jc w:val="center"/>
        <w:rPr>
          <w:rFonts w:ascii="Times New Roman" w:eastAsia="Times New Roman" w:hAnsi="Times New Roman" w:cs="Times New Roman"/>
          <w:b/>
        </w:rPr>
      </w:pPr>
      <w:r>
        <w:rPr>
          <w:rFonts w:ascii="Times New Roman" w:eastAsia="Times New Roman" w:hAnsi="Times New Roman" w:cs="Times New Roman"/>
          <w:b/>
        </w:rPr>
        <w:t xml:space="preserve"> EMEL ROJAS CASTILLO</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rPr>
        <w:t xml:space="preserve">JUAN DANIEL OVIEDO </w:t>
      </w:r>
    </w:p>
    <w:p w14:paraId="3A1A1260" w14:textId="77777777" w:rsidR="0001640C" w:rsidRDefault="004B4533">
      <w:pPr>
        <w:jc w:val="center"/>
        <w:rPr>
          <w:rFonts w:ascii="Times New Roman" w:eastAsia="Times New Roman" w:hAnsi="Times New Roman" w:cs="Times New Roman"/>
        </w:rPr>
      </w:pPr>
      <w:r>
        <w:rPr>
          <w:rFonts w:ascii="Times New Roman" w:eastAsia="Times New Roman" w:hAnsi="Times New Roman" w:cs="Times New Roman"/>
        </w:rPr>
        <w:t>Concejal de Bogotá</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Concejal de Bogotá</w:t>
      </w:r>
    </w:p>
    <w:p w14:paraId="153FC478" w14:textId="6C79121B"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Partido Nueva Fuerza Democrática</w:t>
      </w:r>
      <w:r>
        <w:rPr>
          <w:rFonts w:ascii="Times New Roman" w:eastAsia="Times New Roman" w:hAnsi="Times New Roman" w:cs="Times New Roman"/>
        </w:rPr>
        <w:tab/>
      </w:r>
      <w:r>
        <w:rPr>
          <w:rFonts w:ascii="Times New Roman" w:eastAsia="Times New Roman" w:hAnsi="Times New Roman" w:cs="Times New Roman"/>
        </w:rPr>
        <w:tab/>
        <w:t xml:space="preserve">                   Movimiento Con Toda por Bogotá </w:t>
      </w:r>
    </w:p>
    <w:p w14:paraId="4A60F008" w14:textId="5A9B0E81" w:rsidR="0001640C" w:rsidRDefault="0001640C">
      <w:pPr>
        <w:jc w:val="both"/>
        <w:rPr>
          <w:rFonts w:ascii="Times New Roman" w:eastAsia="Times New Roman" w:hAnsi="Times New Roman" w:cs="Times New Roman"/>
        </w:rPr>
      </w:pPr>
    </w:p>
    <w:p w14:paraId="03E544D7" w14:textId="4E079323" w:rsidR="0001640C" w:rsidRDefault="0001640C">
      <w:pPr>
        <w:jc w:val="both"/>
        <w:rPr>
          <w:rFonts w:ascii="Times New Roman" w:eastAsia="Times New Roman" w:hAnsi="Times New Roman" w:cs="Times New Roman"/>
        </w:rPr>
      </w:pPr>
    </w:p>
    <w:p w14:paraId="28F71154" w14:textId="77777777" w:rsidR="00AE1AB6" w:rsidRDefault="00AE1AB6">
      <w:pPr>
        <w:jc w:val="both"/>
        <w:rPr>
          <w:rFonts w:ascii="Times New Roman" w:eastAsia="Times New Roman" w:hAnsi="Times New Roman" w:cs="Times New Roman"/>
        </w:rPr>
      </w:pPr>
    </w:p>
    <w:p w14:paraId="0D8EAF18" w14:textId="77777777" w:rsidR="0001640C" w:rsidRDefault="0001640C">
      <w:pPr>
        <w:jc w:val="both"/>
        <w:rPr>
          <w:rFonts w:ascii="Times New Roman" w:eastAsia="Times New Roman" w:hAnsi="Times New Roman" w:cs="Times New Roman"/>
        </w:rPr>
      </w:pPr>
    </w:p>
    <w:p w14:paraId="35DFEE08" w14:textId="585A9310" w:rsidR="0001640C" w:rsidRDefault="004B4533">
      <w:pPr>
        <w:rPr>
          <w:rFonts w:ascii="Times New Roman" w:eastAsia="Times New Roman" w:hAnsi="Times New Roman" w:cs="Times New Roman"/>
          <w:b/>
        </w:rPr>
      </w:pPr>
      <w:r>
        <w:rPr>
          <w:rFonts w:ascii="Times New Roman" w:eastAsia="Times New Roman" w:hAnsi="Times New Roman" w:cs="Times New Roman"/>
          <w:b/>
        </w:rPr>
        <w:t>ARMANDO GUTI</w:t>
      </w:r>
      <w:r w:rsidR="00BB3531">
        <w:rPr>
          <w:rFonts w:ascii="Times New Roman" w:eastAsia="Times New Roman" w:hAnsi="Times New Roman" w:cs="Times New Roman"/>
          <w:b/>
        </w:rPr>
        <w:t>È</w:t>
      </w:r>
      <w:r>
        <w:rPr>
          <w:rFonts w:ascii="Times New Roman" w:eastAsia="Times New Roman" w:hAnsi="Times New Roman" w:cs="Times New Roman"/>
          <w:b/>
        </w:rPr>
        <w:t>RREZ GONZÁLEZ            SAMIR JOSÉ ABISAMBRA VESGA</w:t>
      </w:r>
    </w:p>
    <w:p w14:paraId="6ABB793A"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Concejal de Bogotá                                                   Concejal de Bogotá</w:t>
      </w:r>
    </w:p>
    <w:p w14:paraId="35269B7C"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Partido Liberal Colombiano                                        Partido Liberal Colombiano</w:t>
      </w:r>
    </w:p>
    <w:p w14:paraId="6FD08BC1" w14:textId="77777777" w:rsidR="00AE1AB6" w:rsidRDefault="00AE1AB6">
      <w:pPr>
        <w:jc w:val="center"/>
        <w:rPr>
          <w:rFonts w:ascii="Times New Roman" w:eastAsia="Times New Roman" w:hAnsi="Times New Roman" w:cs="Times New Roman"/>
          <w:b/>
        </w:rPr>
      </w:pPr>
    </w:p>
    <w:p w14:paraId="2527AFBA" w14:textId="1E32768A" w:rsidR="0001640C" w:rsidRDefault="004B4533">
      <w:pPr>
        <w:jc w:val="center"/>
        <w:rPr>
          <w:rFonts w:ascii="Times New Roman" w:eastAsia="Times New Roman" w:hAnsi="Times New Roman" w:cs="Times New Roman"/>
          <w:b/>
        </w:rPr>
      </w:pPr>
      <w:r>
        <w:rPr>
          <w:rFonts w:ascii="Times New Roman" w:eastAsia="Times New Roman" w:hAnsi="Times New Roman" w:cs="Times New Roman"/>
          <w:b/>
        </w:rPr>
        <w:lastRenderedPageBreak/>
        <w:t>PROYECTO DE ACUERDO No. 435 DE 2025</w:t>
      </w:r>
    </w:p>
    <w:p w14:paraId="7E8D3793" w14:textId="77777777" w:rsidR="0001640C" w:rsidRDefault="0001640C">
      <w:pPr>
        <w:jc w:val="center"/>
        <w:rPr>
          <w:rFonts w:ascii="Times New Roman" w:eastAsia="Times New Roman" w:hAnsi="Times New Roman" w:cs="Times New Roman"/>
          <w:b/>
        </w:rPr>
      </w:pPr>
    </w:p>
    <w:p w14:paraId="0A9A0DC6" w14:textId="77777777" w:rsidR="0001640C" w:rsidRDefault="004B4533">
      <w:pPr>
        <w:jc w:val="center"/>
        <w:rPr>
          <w:rFonts w:ascii="Times New Roman" w:eastAsia="Times New Roman" w:hAnsi="Times New Roman" w:cs="Times New Roman"/>
          <w:b/>
        </w:rPr>
      </w:pPr>
      <w:r>
        <w:rPr>
          <w:rFonts w:ascii="Times New Roman" w:eastAsia="Times New Roman" w:hAnsi="Times New Roman" w:cs="Times New Roman"/>
          <w:b/>
        </w:rPr>
        <w:t xml:space="preserve">“POR EL CUAL SE RINDE HOMENAJE EN EL CONCEJO DE BOGOTÁ A LA HEROÍNA COLOMBIANA POLICARPA SALAVARRIETA RÍOS </w:t>
      </w:r>
      <w:r>
        <w:rPr>
          <w:rFonts w:ascii="Times New Roman" w:eastAsia="Times New Roman" w:hAnsi="Times New Roman" w:cs="Times New Roman"/>
          <w:b/>
          <w:i/>
        </w:rPr>
        <w:t>“LA POLA”</w:t>
      </w:r>
      <w:r>
        <w:rPr>
          <w:rFonts w:ascii="Times New Roman" w:eastAsia="Times New Roman" w:hAnsi="Times New Roman" w:cs="Times New Roman"/>
          <w:b/>
        </w:rPr>
        <w:t>, QUIEN CUMPLIÓ UN PAPEL DESTACADO EN DISTINTOS PROCESOS HISTÓRICOS DE COLOMBIA Y DE LA CIUDAD DE BOGOTÁ D.C.”</w:t>
      </w:r>
    </w:p>
    <w:p w14:paraId="530F12B6" w14:textId="77777777" w:rsidR="0001640C" w:rsidRDefault="0001640C">
      <w:pPr>
        <w:rPr>
          <w:rFonts w:ascii="Times New Roman" w:eastAsia="Times New Roman" w:hAnsi="Times New Roman" w:cs="Times New Roman"/>
        </w:rPr>
      </w:pPr>
    </w:p>
    <w:p w14:paraId="044DA949" w14:textId="77777777" w:rsidR="0001640C" w:rsidRDefault="0001640C">
      <w:pPr>
        <w:rPr>
          <w:rFonts w:ascii="Times New Roman" w:eastAsia="Times New Roman" w:hAnsi="Times New Roman" w:cs="Times New Roman"/>
        </w:rPr>
      </w:pPr>
    </w:p>
    <w:p w14:paraId="32640ED7" w14:textId="77777777" w:rsidR="0001640C" w:rsidRDefault="004B4533">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EXPOSICIÓN DE MOTIVOS</w:t>
      </w:r>
    </w:p>
    <w:p w14:paraId="439A2639" w14:textId="77777777" w:rsidR="0001640C" w:rsidRDefault="0001640C">
      <w:pPr>
        <w:rPr>
          <w:rFonts w:ascii="Times New Roman" w:eastAsia="Times New Roman" w:hAnsi="Times New Roman" w:cs="Times New Roman"/>
          <w:b/>
        </w:rPr>
      </w:pPr>
    </w:p>
    <w:p w14:paraId="0BB92390" w14:textId="77777777" w:rsidR="0001640C" w:rsidRDefault="004B4533">
      <w:pPr>
        <w:numPr>
          <w:ilvl w:val="0"/>
          <w:numId w:val="1"/>
        </w:numPr>
        <w:jc w:val="both"/>
        <w:rPr>
          <w:rFonts w:ascii="Times New Roman" w:eastAsia="Times New Roman" w:hAnsi="Times New Roman" w:cs="Times New Roman"/>
          <w:b/>
        </w:rPr>
      </w:pPr>
      <w:r>
        <w:rPr>
          <w:rFonts w:ascii="Times New Roman" w:eastAsia="Times New Roman" w:hAnsi="Times New Roman" w:cs="Times New Roman"/>
          <w:b/>
        </w:rPr>
        <w:t xml:space="preserve">OBJETO </w:t>
      </w:r>
    </w:p>
    <w:p w14:paraId="58961065" w14:textId="77777777" w:rsidR="0001640C" w:rsidRDefault="0001640C">
      <w:pPr>
        <w:jc w:val="both"/>
        <w:rPr>
          <w:rFonts w:ascii="Times New Roman" w:eastAsia="Times New Roman" w:hAnsi="Times New Roman" w:cs="Times New Roman"/>
        </w:rPr>
      </w:pPr>
    </w:p>
    <w:p w14:paraId="0FFFDEAB"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La presente iniciativa tiene por objeto realizar un reconocimiento, conmemoración y reivindicación a la heroína Colombiana Policarpa Salavarrieta Ríos “La Pola”, quien cumplió un papel destacado en distintos procesos históricos en Colombia y en la Ciudad de Bogotá D.C.; esto mediante la elaboración e instalación de un busto dentro de las instalaciones de la Corporación.</w:t>
      </w:r>
    </w:p>
    <w:p w14:paraId="660DEFC7" w14:textId="77777777" w:rsidR="0001640C" w:rsidRDefault="0001640C">
      <w:pPr>
        <w:jc w:val="both"/>
        <w:rPr>
          <w:rFonts w:ascii="Times New Roman" w:eastAsia="Times New Roman" w:hAnsi="Times New Roman" w:cs="Times New Roman"/>
        </w:rPr>
      </w:pPr>
    </w:p>
    <w:p w14:paraId="3FB4A532" w14:textId="77777777" w:rsidR="0001640C" w:rsidRDefault="0001640C">
      <w:pPr>
        <w:jc w:val="both"/>
        <w:rPr>
          <w:rFonts w:ascii="Times New Roman" w:eastAsia="Times New Roman" w:hAnsi="Times New Roman" w:cs="Times New Roman"/>
        </w:rPr>
      </w:pPr>
    </w:p>
    <w:p w14:paraId="10324B54" w14:textId="77777777" w:rsidR="0001640C" w:rsidRDefault="004B4533">
      <w:pPr>
        <w:numPr>
          <w:ilvl w:val="0"/>
          <w:numId w:val="1"/>
        </w:numPr>
        <w:jc w:val="both"/>
        <w:rPr>
          <w:rFonts w:ascii="Times New Roman" w:eastAsia="Times New Roman" w:hAnsi="Times New Roman" w:cs="Times New Roman"/>
          <w:b/>
        </w:rPr>
      </w:pPr>
      <w:r>
        <w:rPr>
          <w:rFonts w:ascii="Times New Roman" w:eastAsia="Times New Roman" w:hAnsi="Times New Roman" w:cs="Times New Roman"/>
          <w:b/>
        </w:rPr>
        <w:t>ANTECEDENTES DE LA INICIATIVA</w:t>
      </w:r>
    </w:p>
    <w:p w14:paraId="74809906" w14:textId="77777777" w:rsidR="0001640C" w:rsidRDefault="0001640C">
      <w:pPr>
        <w:jc w:val="both"/>
        <w:rPr>
          <w:rFonts w:ascii="Times New Roman" w:eastAsia="Times New Roman" w:hAnsi="Times New Roman" w:cs="Times New Roman"/>
        </w:rPr>
      </w:pPr>
    </w:p>
    <w:p w14:paraId="047B6E46"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Para la elaboración del presente Proyecto de Acuerdo se tomó en consideración el Acuerdo 3 de 1996, teniendo en cuenta que al interior de la Corporación se cuenta con un busto de una figura política importante como es Álvaro Gómez Hurtado: </w:t>
      </w:r>
    </w:p>
    <w:p w14:paraId="0E4226E9" w14:textId="77777777" w:rsidR="0001640C" w:rsidRDefault="0001640C">
      <w:pPr>
        <w:jc w:val="both"/>
        <w:rPr>
          <w:rFonts w:ascii="Times New Roman" w:eastAsia="Times New Roman" w:hAnsi="Times New Roman" w:cs="Times New Roman"/>
        </w:rPr>
      </w:pPr>
    </w:p>
    <w:p w14:paraId="1ADB63F5"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Acuerdo 3 de 1996 </w:t>
      </w:r>
    </w:p>
    <w:p w14:paraId="6D966107"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“Por el cual se rinde homenaje al inmolado dirigente bogotano y adalid de la patria Álvaro Gómez Hurtado y se dictan otras disposiciones” </w:t>
      </w:r>
    </w:p>
    <w:p w14:paraId="3D153E22" w14:textId="77777777" w:rsidR="0001640C" w:rsidRDefault="0001640C">
      <w:pPr>
        <w:rPr>
          <w:rFonts w:ascii="Times New Roman" w:eastAsia="Times New Roman" w:hAnsi="Times New Roman" w:cs="Times New Roman"/>
        </w:rPr>
      </w:pPr>
    </w:p>
    <w:p w14:paraId="72FD6A1A"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Artículo 4. </w:t>
      </w:r>
      <w:r>
        <w:rPr>
          <w:rFonts w:ascii="Times New Roman" w:eastAsia="Times New Roman" w:hAnsi="Times New Roman" w:cs="Times New Roman"/>
          <w:b/>
          <w:i/>
        </w:rPr>
        <w:t>“</w:t>
      </w:r>
      <w:r>
        <w:rPr>
          <w:rFonts w:ascii="Times New Roman" w:eastAsia="Times New Roman" w:hAnsi="Times New Roman" w:cs="Times New Roman"/>
          <w:i/>
        </w:rPr>
        <w:t xml:space="preserve">El Concejo de Santa Fe de Bogotá, dispondrá la colocación de un busto a la Memoria del Doctor ÁLVARO GÓMEZ </w:t>
      </w:r>
      <w:proofErr w:type="gramStart"/>
      <w:r>
        <w:rPr>
          <w:rFonts w:ascii="Times New Roman" w:eastAsia="Times New Roman" w:hAnsi="Times New Roman" w:cs="Times New Roman"/>
          <w:i/>
        </w:rPr>
        <w:t>HURTADO,.</w:t>
      </w:r>
      <w:proofErr w:type="gramEnd"/>
      <w:r>
        <w:rPr>
          <w:rFonts w:ascii="Times New Roman" w:eastAsia="Times New Roman" w:hAnsi="Times New Roman" w:cs="Times New Roman"/>
          <w:i/>
        </w:rPr>
        <w:t xml:space="preserve"> El cual será descubierto durante acto especial organizado por el mismo Concejo, evento que se llevará a cabo dentro de los treinta (30) días siguientes a partir de la sanción del presente Acuerdo.”</w:t>
      </w:r>
    </w:p>
    <w:p w14:paraId="7EDC59C8" w14:textId="77777777" w:rsidR="0001640C" w:rsidRDefault="0001640C">
      <w:pPr>
        <w:rPr>
          <w:rFonts w:ascii="Times New Roman" w:eastAsia="Times New Roman" w:hAnsi="Times New Roman" w:cs="Times New Roman"/>
        </w:rPr>
      </w:pPr>
    </w:p>
    <w:p w14:paraId="666D54E6"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Artículo 5. </w:t>
      </w:r>
      <w:r>
        <w:rPr>
          <w:rFonts w:ascii="Times New Roman" w:eastAsia="Times New Roman" w:hAnsi="Times New Roman" w:cs="Times New Roman"/>
          <w:b/>
          <w:i/>
        </w:rPr>
        <w:t>“</w:t>
      </w:r>
      <w:r>
        <w:rPr>
          <w:rFonts w:ascii="Times New Roman" w:eastAsia="Times New Roman" w:hAnsi="Times New Roman" w:cs="Times New Roman"/>
          <w:i/>
        </w:rPr>
        <w:t>El busto del Doctor ÁLVARO GÓMEZ HURTADO, mencionado en el artículo anterior se erigirá en la plazoleta de JOSÉ MIGUEL REY, del Concejo de Santa Fe de Bogotá, D.C.” </w:t>
      </w:r>
    </w:p>
    <w:p w14:paraId="0B5EF684" w14:textId="77777777" w:rsidR="0001640C" w:rsidRDefault="0001640C">
      <w:pPr>
        <w:jc w:val="both"/>
        <w:rPr>
          <w:rFonts w:ascii="Times New Roman" w:eastAsia="Times New Roman" w:hAnsi="Times New Roman" w:cs="Times New Roman"/>
        </w:rPr>
      </w:pPr>
    </w:p>
    <w:p w14:paraId="5523DC33" w14:textId="77777777" w:rsidR="0001640C" w:rsidRDefault="0001640C">
      <w:pPr>
        <w:jc w:val="both"/>
        <w:rPr>
          <w:rFonts w:ascii="Times New Roman" w:eastAsia="Times New Roman" w:hAnsi="Times New Roman" w:cs="Times New Roman"/>
        </w:rPr>
      </w:pPr>
    </w:p>
    <w:p w14:paraId="5BC37DD9" w14:textId="77777777" w:rsidR="0001640C" w:rsidRDefault="004B4533">
      <w:pPr>
        <w:numPr>
          <w:ilvl w:val="0"/>
          <w:numId w:val="1"/>
        </w:numPr>
        <w:pBdr>
          <w:top w:val="nil"/>
          <w:left w:val="nil"/>
          <w:bottom w:val="nil"/>
          <w:right w:val="nil"/>
          <w:between w:val="nil"/>
        </w:pBdr>
        <w:jc w:val="both"/>
        <w:rPr>
          <w:rFonts w:ascii="Times New Roman" w:eastAsia="Times New Roman" w:hAnsi="Times New Roman" w:cs="Times New Roman"/>
          <w:b/>
        </w:rPr>
      </w:pPr>
      <w:r>
        <w:rPr>
          <w:rFonts w:ascii="Times New Roman" w:eastAsia="Times New Roman" w:hAnsi="Times New Roman" w:cs="Times New Roman"/>
          <w:b/>
        </w:rPr>
        <w:lastRenderedPageBreak/>
        <w:t>JUSTIFICACIÓN</w:t>
      </w:r>
    </w:p>
    <w:p w14:paraId="75BFC831" w14:textId="77777777" w:rsidR="0001640C" w:rsidRDefault="0001640C">
      <w:pPr>
        <w:pBdr>
          <w:top w:val="nil"/>
          <w:left w:val="nil"/>
          <w:bottom w:val="nil"/>
          <w:right w:val="nil"/>
          <w:between w:val="nil"/>
        </w:pBdr>
        <w:jc w:val="both"/>
        <w:rPr>
          <w:rFonts w:ascii="Times New Roman" w:eastAsia="Times New Roman" w:hAnsi="Times New Roman" w:cs="Times New Roman"/>
          <w:b/>
        </w:rPr>
      </w:pPr>
    </w:p>
    <w:p w14:paraId="59700240" w14:textId="77777777" w:rsidR="0001640C" w:rsidRDefault="004B4533">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Policarpa Salavarrieta Ríos, más conocida como “La Pola”, llegó a Bogotá en el año de 1817, para trabajar como costurera, un oficio que disimulaba su verdadera misión, que no era otra que conspirar contra el gobierno del Virrey Sámano. “La Pola” colaboraba con el ejército libertador como mensajera de la guerrilla de los Llanos, ayudaba con las compras del material de guerra, y reclutaba a jóvenes para que se vincularan al ejército patriota (Blanco y Poveda, 2009).</w:t>
      </w:r>
    </w:p>
    <w:p w14:paraId="3913343B" w14:textId="77777777" w:rsidR="0001640C" w:rsidRDefault="0001640C">
      <w:pPr>
        <w:jc w:val="both"/>
        <w:rPr>
          <w:rFonts w:ascii="Times New Roman" w:eastAsia="Times New Roman" w:hAnsi="Times New Roman" w:cs="Times New Roman"/>
        </w:rPr>
      </w:pPr>
    </w:p>
    <w:p w14:paraId="30C79340"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Fue una heroína de la Independencia, del terror impuesto en la Nueva Granada a principios del siglo XIX durante la reconquista española. La labor de “La Pola” ha sido resaltada en la literatura especializada sobre la materia de la siguiente forma:</w:t>
      </w:r>
    </w:p>
    <w:p w14:paraId="7368D397" w14:textId="77777777" w:rsidR="0001640C" w:rsidRDefault="0001640C">
      <w:pPr>
        <w:jc w:val="both"/>
        <w:rPr>
          <w:rFonts w:ascii="Times New Roman" w:eastAsia="Times New Roman" w:hAnsi="Times New Roman" w:cs="Times New Roman"/>
        </w:rPr>
      </w:pPr>
    </w:p>
    <w:p w14:paraId="178A43CA"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Con su actividad arriesgada para mantener al ejército patriota informado de los movimientos de los realistas, mostró que era una mujer astuta y dotada de cualidades inteligentes.</w:t>
      </w:r>
    </w:p>
    <w:p w14:paraId="2E57607E" w14:textId="77777777" w:rsidR="0001640C" w:rsidRDefault="0001640C">
      <w:pPr>
        <w:ind w:left="720"/>
        <w:jc w:val="both"/>
        <w:rPr>
          <w:rFonts w:ascii="Times New Roman" w:eastAsia="Times New Roman" w:hAnsi="Times New Roman" w:cs="Times New Roman"/>
        </w:rPr>
      </w:pPr>
    </w:p>
    <w:p w14:paraId="691D9FE2"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Se educó y fue consecuente con su deber de educar a los demás –función que desempeñó por un año en la escuelita de Guaduas, su ciudad natal–, se infiltró como costurera en casas de realistas y, con profunda convicción, motivó a soldados para que abandonaran las filas realistas y se integraran a las independentistas.</w:t>
      </w:r>
    </w:p>
    <w:p w14:paraId="308B8056" w14:textId="77777777" w:rsidR="0001640C" w:rsidRDefault="0001640C">
      <w:pPr>
        <w:ind w:left="720"/>
        <w:jc w:val="both"/>
        <w:rPr>
          <w:rFonts w:ascii="Times New Roman" w:eastAsia="Times New Roman" w:hAnsi="Times New Roman" w:cs="Times New Roman"/>
        </w:rPr>
      </w:pPr>
    </w:p>
    <w:p w14:paraId="72C737E9"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Con tan solo 21 años, las palabras de la Pola ya revelaban la claridad política y la formación ideológica con la que se había preparado para servir como pilar fundamental del movimiento independentista. Aunque ella siempre consideró que no era más que un eslabón de una cadena integrada por valiosas personas, su presencia y arriesgada actividad fermentaron las bases de la independencia de la Nueva Granada. (Machado, 2018)</w:t>
      </w:r>
    </w:p>
    <w:p w14:paraId="5FB8C939" w14:textId="77777777" w:rsidR="0001640C" w:rsidRDefault="0001640C">
      <w:pPr>
        <w:jc w:val="both"/>
        <w:rPr>
          <w:rFonts w:ascii="Times New Roman" w:eastAsia="Times New Roman" w:hAnsi="Times New Roman" w:cs="Times New Roman"/>
        </w:rPr>
      </w:pPr>
    </w:p>
    <w:p w14:paraId="4F0C78FB"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Como una pequeña muestra de la valentía del liderazgo de Policarpa es importante resaltar sus palabras antes de ser fusilada por el ejército en Bogotá el 14 de noviembre de 1817:</w:t>
      </w:r>
    </w:p>
    <w:p w14:paraId="2C8A16E4" w14:textId="77777777" w:rsidR="0001640C" w:rsidRDefault="0001640C">
      <w:pPr>
        <w:jc w:val="both"/>
        <w:rPr>
          <w:rFonts w:ascii="Times New Roman" w:eastAsia="Times New Roman" w:hAnsi="Times New Roman" w:cs="Times New Roman"/>
        </w:rPr>
      </w:pPr>
    </w:p>
    <w:p w14:paraId="489CFD46"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i/>
        </w:rPr>
        <w:t xml:space="preserve">“Ojalá me fusilasen aquí mismo, para no ver a americanos como vos, mayor Córdoba, sirviendo de instrumento a nuestros verdugos. Pero el día llegará, ¡españoles…! ¡El día llegará en que a esta ciudad entren las tropas de la libertad y de la justicia, y entonces temed, que en vano serán vuestras súplicas y gemidos! Solo me duele la suerte oscura de mi patria […]. ¡Pueblo de Santafé! Muero inocente, solo por buscar la independencia de mi Patria. ¿Y vais a permitir que se cometa el crimen? Dios eterno, ved esta injusticia”. </w:t>
      </w:r>
      <w:r>
        <w:rPr>
          <w:rFonts w:ascii="Times New Roman" w:eastAsia="Times New Roman" w:hAnsi="Times New Roman" w:cs="Times New Roman"/>
        </w:rPr>
        <w:t>(Forero, 1972)</w:t>
      </w:r>
    </w:p>
    <w:p w14:paraId="49AD351B" w14:textId="77777777" w:rsidR="0001640C" w:rsidRDefault="0001640C">
      <w:pPr>
        <w:jc w:val="both"/>
        <w:rPr>
          <w:rFonts w:ascii="Times New Roman" w:eastAsia="Times New Roman" w:hAnsi="Times New Roman" w:cs="Times New Roman"/>
        </w:rPr>
      </w:pPr>
    </w:p>
    <w:p w14:paraId="14DB1C03"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Policarpa Salavarrieta participó en el grito de independencia del 20 de julio de 1810 a sus 15 años. Más adelante, sus actividades durante la época independentista estuvieron especialmente vinculadas con el ejército patriota de los Llanos: recibía y mandaba mensajes, compraba material de guerra, convencía individualmente a jóvenes y les ayudaba a adherirse a los grupos patriotas. Experta en espionaje, Policarpa se volvió rápidamente indispensable para la causa patriota. Trabajaba siempre al lado de algún compatriota como su hermano Bibiano, pero su compañero de trabajo más importante fue Alejo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ya había luchado junto a Nariño en el sur, y había sido capturado en 1816. Al año siguiente lo cubrió el indulto y, libre, se dedicó al espionaje. </w:t>
      </w:r>
    </w:p>
    <w:p w14:paraId="34CE5258" w14:textId="77777777" w:rsidR="0001640C" w:rsidRDefault="0001640C">
      <w:pPr>
        <w:jc w:val="both"/>
        <w:rPr>
          <w:rFonts w:ascii="Times New Roman" w:eastAsia="Times New Roman" w:hAnsi="Times New Roman" w:cs="Times New Roman"/>
        </w:rPr>
      </w:pPr>
    </w:p>
    <w:p w14:paraId="6A39B6BC"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Las actividades de Policarpa tal vez no hubieran resultado sospechosas para los realistas de no ser por la huida de los hermanos Almeyda, que fueron capturados con documentos que comprometían a La Pola, además de la delación de Facundo Tovar, un ganadero venezolano infiltrado enviado por los españoles (El Tiempo, 2010), quien comprometió más a La Pola y a su prometido Alejo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tras saberse del reclutamiento de soldados para el Ejército Libertador.</w:t>
      </w:r>
    </w:p>
    <w:p w14:paraId="4324300D" w14:textId="77777777" w:rsidR="0001640C" w:rsidRDefault="0001640C">
      <w:pPr>
        <w:jc w:val="both"/>
        <w:rPr>
          <w:rFonts w:ascii="Times New Roman" w:eastAsia="Times New Roman" w:hAnsi="Times New Roman" w:cs="Times New Roman"/>
        </w:rPr>
      </w:pPr>
    </w:p>
    <w:p w14:paraId="5E542FD3"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El arresto de Alejo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Ramos fue el elemento decisivo para la captura de La Pola, pues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tenía una lista de nombres de realistas y de patriotas que La Pola le había entregado. Hasta ese momento, Policarpa se había podido mover hábilmente por la ciudad porque estaba recién llegada y muy poca gente la conocía; además, su juventud e inteligencia le habían permitido desenvolverse con gran capacidad. El sargento Iglesias, el principal agente español en la ciudad, fue comisionado para encontrarla y arrestarla.</w:t>
      </w:r>
    </w:p>
    <w:p w14:paraId="5EBB87F8" w14:textId="77777777" w:rsidR="0001640C" w:rsidRDefault="0001640C">
      <w:pPr>
        <w:jc w:val="both"/>
        <w:rPr>
          <w:rFonts w:ascii="Times New Roman" w:eastAsia="Times New Roman" w:hAnsi="Times New Roman" w:cs="Times New Roman"/>
        </w:rPr>
      </w:pPr>
    </w:p>
    <w:p w14:paraId="5B5C1886"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Cuando el sargento fue a la casa de doña Andrea Ricaurte de Lozano a arrestarla, Policarpa alcanzó a huir, pero tan solo </w:t>
      </w:r>
      <w:proofErr w:type="gramStart"/>
      <w:r>
        <w:rPr>
          <w:rFonts w:ascii="Times New Roman" w:eastAsia="Times New Roman" w:hAnsi="Times New Roman" w:cs="Times New Roman"/>
        </w:rPr>
        <w:t>unas cuadras al sur sería</w:t>
      </w:r>
      <w:proofErr w:type="gramEnd"/>
      <w:r>
        <w:rPr>
          <w:rFonts w:ascii="Times New Roman" w:eastAsia="Times New Roman" w:hAnsi="Times New Roman" w:cs="Times New Roman"/>
        </w:rPr>
        <w:t xml:space="preserve"> apresada. Fue encerrada en el Colegio Mayor de Nuestra Señora del Rosario, convertido en cárcel (Banco de la República, s.f.). </w:t>
      </w:r>
    </w:p>
    <w:p w14:paraId="7725A7F0" w14:textId="77777777" w:rsidR="0001640C" w:rsidRDefault="0001640C">
      <w:pPr>
        <w:jc w:val="both"/>
        <w:rPr>
          <w:rFonts w:ascii="Times New Roman" w:eastAsia="Times New Roman" w:hAnsi="Times New Roman" w:cs="Times New Roman"/>
        </w:rPr>
      </w:pPr>
    </w:p>
    <w:p w14:paraId="7AA8AB87"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El 10 de noviembre de 1817, el Consejo de Guerra la condenó a muerte junto con </w:t>
      </w:r>
      <w:proofErr w:type="spellStart"/>
      <w:r>
        <w:rPr>
          <w:rFonts w:ascii="Times New Roman" w:eastAsia="Times New Roman" w:hAnsi="Times New Roman" w:cs="Times New Roman"/>
        </w:rPr>
        <w:t>Sabaraín</w:t>
      </w:r>
      <w:proofErr w:type="spellEnd"/>
      <w:r>
        <w:rPr>
          <w:rFonts w:ascii="Times New Roman" w:eastAsia="Times New Roman" w:hAnsi="Times New Roman" w:cs="Times New Roman"/>
        </w:rPr>
        <w:t xml:space="preserve"> y otros patriotas más. Se dice que La Pola maldijo sin descanso a los españoles durante la noche anterior a su ejecución. En un momento se detuvo, cansada y sedienta, y uno de los guardias le ofreció una copa de vino. Ella arrojó el vaso de regreso a sus captores, proclamando «¡No aceptaría ni un vaso de agua de mis enemigos!». La hora y fecha determinadas para el fusilamiento fueron las nueve de la mañana del viernes 14 de noviembre de 1817. La Pola marchó con dos sacerdotes a los lados. En lugar de repetir las oraciones que recitaban los sacerdotes, maldijo a los españoles y predijo su derrota en la revolución venidera. Mientras la conducían a su ejecución, Policarpa animó a los demás prisioneros y reprendió a sus captores. Se ordenó a los condenados ponerse de espaldas porque así deberían </w:t>
      </w:r>
      <w:r>
        <w:rPr>
          <w:rFonts w:ascii="Times New Roman" w:eastAsia="Times New Roman" w:hAnsi="Times New Roman" w:cs="Times New Roman"/>
        </w:rPr>
        <w:lastRenderedPageBreak/>
        <w:t>morir los traidores al Reino de España, pero ellos solicitaron permiso para ponerse de rodillas, por considerar que esta era una posición más religiosa y apropiada.</w:t>
      </w:r>
    </w:p>
    <w:p w14:paraId="33C9584C" w14:textId="77777777" w:rsidR="0001640C" w:rsidRDefault="0001640C">
      <w:pPr>
        <w:jc w:val="both"/>
        <w:rPr>
          <w:rFonts w:ascii="Times New Roman" w:eastAsia="Times New Roman" w:hAnsi="Times New Roman" w:cs="Times New Roman"/>
        </w:rPr>
      </w:pPr>
    </w:p>
    <w:p w14:paraId="4E4D37FF"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Quedaron registradas las palabras que pronunció al subir al patíbulo, dirigidas al pueblo que iba a presenciar su ejecución:</w:t>
      </w:r>
    </w:p>
    <w:p w14:paraId="036A0A0E" w14:textId="77777777" w:rsidR="0001640C" w:rsidRDefault="0001640C">
      <w:pPr>
        <w:jc w:val="both"/>
        <w:rPr>
          <w:rFonts w:ascii="Times New Roman" w:eastAsia="Times New Roman" w:hAnsi="Times New Roman" w:cs="Times New Roman"/>
        </w:rPr>
      </w:pPr>
    </w:p>
    <w:p w14:paraId="16107B74" w14:textId="77777777" w:rsidR="0001640C" w:rsidRDefault="004B4533">
      <w:pPr>
        <w:jc w:val="both"/>
        <w:rPr>
          <w:rFonts w:ascii="Times New Roman" w:eastAsia="Times New Roman" w:hAnsi="Times New Roman" w:cs="Times New Roman"/>
          <w:i/>
        </w:rPr>
      </w:pPr>
      <w:r>
        <w:rPr>
          <w:rFonts w:ascii="Times New Roman" w:eastAsia="Times New Roman" w:hAnsi="Times New Roman" w:cs="Times New Roman"/>
          <w:i/>
        </w:rPr>
        <w:t>“Viles soldados, volved las armas a los enemigos de vuestra patria. ¡Pueblo indolente! ¡Cuán distinta sería hoy vuestra suerte si conocierais el precio de la libertad! Pero no es tarde: ved que ―aunque mujer y joven― me sobra valor para sufrir la muerte y mil muertes más. No olvidéis este ejemplo [...] Miserable pueblo, yo os compadezco. ¡Algún día tendréis más dignidad! [...] Muero por defender los derechos de mi patria.”</w:t>
      </w:r>
    </w:p>
    <w:p w14:paraId="115CC5BE" w14:textId="77777777" w:rsidR="0001640C" w:rsidRDefault="004B4533">
      <w:pPr>
        <w:ind w:left="5672" w:firstLine="708"/>
        <w:jc w:val="both"/>
        <w:rPr>
          <w:rFonts w:ascii="Times New Roman" w:eastAsia="Times New Roman" w:hAnsi="Times New Roman" w:cs="Times New Roman"/>
          <w:i/>
        </w:rPr>
      </w:pPr>
      <w:r>
        <w:rPr>
          <w:rFonts w:ascii="Times New Roman" w:eastAsia="Times New Roman" w:hAnsi="Times New Roman" w:cs="Times New Roman"/>
          <w:i/>
        </w:rPr>
        <w:t>Policarpa Salavarrieta</w:t>
      </w:r>
    </w:p>
    <w:p w14:paraId="2F1AD122" w14:textId="77777777" w:rsidR="0001640C" w:rsidRDefault="0001640C">
      <w:pPr>
        <w:jc w:val="both"/>
        <w:rPr>
          <w:rFonts w:ascii="Times New Roman" w:eastAsia="Times New Roman" w:hAnsi="Times New Roman" w:cs="Times New Roman"/>
        </w:rPr>
      </w:pPr>
    </w:p>
    <w:p w14:paraId="32D5C74A"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En el momento en que empezaron a disparar, miró a sus verdugos. Su cuerpo no fue expuesto en las calles de Bogotá como los de sus compañeros por ser el de una mujer. Tras ser enterrada en una fosa común en la iglesia de la Veracruz, sus hermanos sacerdotes lo reclamaron y lo guardaron en la iglesia de San Agustín.</w:t>
      </w:r>
    </w:p>
    <w:p w14:paraId="4E4B35BA" w14:textId="77777777" w:rsidR="0001640C" w:rsidRDefault="0001640C">
      <w:pPr>
        <w:jc w:val="both"/>
        <w:rPr>
          <w:rFonts w:ascii="Times New Roman" w:eastAsia="Times New Roman" w:hAnsi="Times New Roman" w:cs="Times New Roman"/>
        </w:rPr>
      </w:pPr>
    </w:p>
    <w:p w14:paraId="3659043A"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Muchos historiadores de este período consideran a Policarpa Salavarrieta la mujer más representativa de la revolución independentista colombiana. En su época, la ejecución de una mujer joven por un crimen político movió a la población y creó una gran resistencia al régimen impuesto por Juan Sámano. Si bien muchas mujeres fueron igualmente asesinadas durante la ocupación española, el caso de La Pola cautivó la imaginación popular. Su muerte inspiró a poetas, escritores y dramaturgos para inmortalizar su historia, siempre resaltando su valentía y coraje.</w:t>
      </w:r>
    </w:p>
    <w:p w14:paraId="1003EEE1" w14:textId="77777777" w:rsidR="0001640C" w:rsidRDefault="0001640C">
      <w:pPr>
        <w:jc w:val="both"/>
        <w:rPr>
          <w:rFonts w:ascii="Times New Roman" w:eastAsia="Times New Roman" w:hAnsi="Times New Roman" w:cs="Times New Roman"/>
        </w:rPr>
      </w:pPr>
    </w:p>
    <w:p w14:paraId="01EFDDFF"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El 9 de noviembre de 1967, en virtud de la Ley 44 del Congreso de la República de Colombia y firmada por el presidente Carlos Lleras Restrepo, declaró en su segundo artículo el día 14 de noviembre «Día de la Mujer Colombiana» en honor de la conmemoración de la muerte de «Nuestra Heroína, Policarpa Salavarrieta».</w:t>
      </w:r>
    </w:p>
    <w:p w14:paraId="6A243236" w14:textId="77777777" w:rsidR="0001640C" w:rsidRDefault="0001640C">
      <w:pPr>
        <w:jc w:val="both"/>
        <w:rPr>
          <w:rFonts w:ascii="Times New Roman" w:eastAsia="Times New Roman" w:hAnsi="Times New Roman" w:cs="Times New Roman"/>
        </w:rPr>
      </w:pPr>
    </w:p>
    <w:p w14:paraId="09A732C4"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HOMENAJES</w:t>
      </w:r>
    </w:p>
    <w:p w14:paraId="6E5337F5" w14:textId="77777777" w:rsidR="0001640C" w:rsidRDefault="0001640C">
      <w:pPr>
        <w:jc w:val="both"/>
        <w:rPr>
          <w:rFonts w:ascii="Times New Roman" w:eastAsia="Times New Roman" w:hAnsi="Times New Roman" w:cs="Times New Roman"/>
          <w:b/>
        </w:rPr>
      </w:pPr>
    </w:p>
    <w:p w14:paraId="09969909"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La imagen de Policarpa ha sido utilizada varias veces en los billetes y monedas de Colombia. Es una de las únicas personalidades históricas femeninas que ha aparecido en ellos (a pesar de que se han representado otras figuras femeninas, pero son simbólicas o mitológicas como la Justicia, la Libertad, una indígena nativa americana anónima, la protagonista de María, la novela de Jorge </w:t>
      </w:r>
      <w:proofErr w:type="spellStart"/>
      <w:r>
        <w:rPr>
          <w:rFonts w:ascii="Times New Roman" w:eastAsia="Times New Roman" w:hAnsi="Times New Roman" w:cs="Times New Roman"/>
        </w:rPr>
        <w:t>Isaacs</w:t>
      </w:r>
      <w:proofErr w:type="spellEnd"/>
      <w:r>
        <w:rPr>
          <w:rFonts w:ascii="Times New Roman" w:eastAsia="Times New Roman" w:hAnsi="Times New Roman" w:cs="Times New Roman"/>
        </w:rPr>
        <w:t>). En 2016, cede su lugar en el billete de 10.000 pesos colombianos a la antropóloga Virginia Gutiérrez.</w:t>
      </w:r>
    </w:p>
    <w:p w14:paraId="71799874" w14:textId="77777777" w:rsidR="0001640C" w:rsidRDefault="0001640C">
      <w:pPr>
        <w:jc w:val="both"/>
        <w:rPr>
          <w:rFonts w:ascii="Times New Roman" w:eastAsia="Times New Roman" w:hAnsi="Times New Roman" w:cs="Times New Roman"/>
        </w:rPr>
      </w:pPr>
    </w:p>
    <w:p w14:paraId="60DA7E18"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EN COLOMBIA</w:t>
      </w:r>
    </w:p>
    <w:p w14:paraId="39244466" w14:textId="77777777" w:rsidR="0001640C" w:rsidRDefault="004B4533">
      <w:pPr>
        <w:numPr>
          <w:ilvl w:val="0"/>
          <w:numId w:val="2"/>
        </w:numPr>
        <w:shd w:val="clear" w:color="auto" w:fill="FFFFFF"/>
        <w:spacing w:before="280" w:after="24"/>
        <w:ind w:left="384"/>
        <w:jc w:val="both"/>
        <w:rPr>
          <w:rFonts w:ascii="Times New Roman" w:eastAsia="Times New Roman" w:hAnsi="Times New Roman" w:cs="Times New Roman"/>
        </w:rPr>
      </w:pPr>
      <w:r>
        <w:rPr>
          <w:rFonts w:ascii="Times New Roman" w:eastAsia="Times New Roman" w:hAnsi="Times New Roman" w:cs="Times New Roman"/>
        </w:rPr>
        <w:t>Estatua de “La Pola” de Dionisio Cortés, ubicada en la Carrera 2A, esquina Calle 18, en el distrito Las Aguas, en </w:t>
      </w:r>
      <w:hyperlink r:id="rId8">
        <w:r>
          <w:rPr>
            <w:rFonts w:ascii="Times New Roman" w:eastAsia="Times New Roman" w:hAnsi="Times New Roman" w:cs="Times New Roman"/>
          </w:rPr>
          <w:t>La Candelaria</w:t>
        </w:r>
      </w:hyperlink>
      <w:r>
        <w:rPr>
          <w:rFonts w:ascii="Times New Roman" w:eastAsia="Times New Roman" w:hAnsi="Times New Roman" w:cs="Times New Roman"/>
        </w:rPr>
        <w:t xml:space="preserve"> en Bogotá. </w:t>
      </w:r>
    </w:p>
    <w:p w14:paraId="3F60C330" w14:textId="77777777" w:rsidR="0001640C" w:rsidRDefault="009B1A77">
      <w:pPr>
        <w:numPr>
          <w:ilvl w:val="0"/>
          <w:numId w:val="2"/>
        </w:numPr>
        <w:shd w:val="clear" w:color="auto" w:fill="FFFFFF"/>
        <w:spacing w:after="24"/>
        <w:ind w:left="384"/>
        <w:jc w:val="both"/>
        <w:rPr>
          <w:rFonts w:ascii="Times New Roman" w:eastAsia="Times New Roman" w:hAnsi="Times New Roman" w:cs="Times New Roman"/>
        </w:rPr>
      </w:pPr>
      <w:hyperlink r:id="rId9">
        <w:r w:rsidR="004B4533">
          <w:rPr>
            <w:rFonts w:ascii="Times New Roman" w:eastAsia="Times New Roman" w:hAnsi="Times New Roman" w:cs="Times New Roman"/>
          </w:rPr>
          <w:t>Policarpa</w:t>
        </w:r>
      </w:hyperlink>
      <w:r w:rsidR="004B4533">
        <w:rPr>
          <w:rFonts w:ascii="Times New Roman" w:eastAsia="Times New Roman" w:hAnsi="Times New Roman" w:cs="Times New Roman"/>
        </w:rPr>
        <w:t>, municipio del </w:t>
      </w:r>
      <w:hyperlink r:id="rId10">
        <w:r w:rsidR="004B4533">
          <w:rPr>
            <w:rFonts w:ascii="Times New Roman" w:eastAsia="Times New Roman" w:hAnsi="Times New Roman" w:cs="Times New Roman"/>
          </w:rPr>
          <w:t>departamento de Nariño</w:t>
        </w:r>
      </w:hyperlink>
      <w:r w:rsidR="004B4533">
        <w:rPr>
          <w:rFonts w:ascii="Times New Roman" w:eastAsia="Times New Roman" w:hAnsi="Times New Roman" w:cs="Times New Roman"/>
        </w:rPr>
        <w:t>.</w:t>
      </w:r>
    </w:p>
    <w:p w14:paraId="7E2CE2DF" w14:textId="77777777" w:rsidR="0001640C" w:rsidRDefault="009B1A77">
      <w:pPr>
        <w:numPr>
          <w:ilvl w:val="0"/>
          <w:numId w:val="2"/>
        </w:numPr>
        <w:shd w:val="clear" w:color="auto" w:fill="FFFFFF"/>
        <w:spacing w:after="24"/>
        <w:ind w:left="384"/>
        <w:jc w:val="both"/>
        <w:rPr>
          <w:rFonts w:ascii="Times New Roman" w:eastAsia="Times New Roman" w:hAnsi="Times New Roman" w:cs="Times New Roman"/>
        </w:rPr>
      </w:pPr>
      <w:hyperlink r:id="rId11">
        <w:r w:rsidR="004B4533">
          <w:rPr>
            <w:rFonts w:ascii="Times New Roman" w:eastAsia="Times New Roman" w:hAnsi="Times New Roman" w:cs="Times New Roman"/>
          </w:rPr>
          <w:t>Policarpa</w:t>
        </w:r>
      </w:hyperlink>
      <w:r w:rsidR="004B4533">
        <w:rPr>
          <w:rFonts w:ascii="Times New Roman" w:eastAsia="Times New Roman" w:hAnsi="Times New Roman" w:cs="Times New Roman"/>
        </w:rPr>
        <w:t>, un barrio de la localidad </w:t>
      </w:r>
      <w:hyperlink r:id="rId12">
        <w:r w:rsidR="004B4533">
          <w:rPr>
            <w:rFonts w:ascii="Times New Roman" w:eastAsia="Times New Roman" w:hAnsi="Times New Roman" w:cs="Times New Roman"/>
          </w:rPr>
          <w:t>Antonio Nariño</w:t>
        </w:r>
      </w:hyperlink>
      <w:r w:rsidR="004B4533">
        <w:rPr>
          <w:rFonts w:ascii="Times New Roman" w:eastAsia="Times New Roman" w:hAnsi="Times New Roman" w:cs="Times New Roman"/>
        </w:rPr>
        <w:t> de Bogotá y una estación del Sistema de Transporte masivo de </w:t>
      </w:r>
      <w:hyperlink r:id="rId13">
        <w:r w:rsidR="004B4533">
          <w:rPr>
            <w:rFonts w:ascii="Times New Roman" w:eastAsia="Times New Roman" w:hAnsi="Times New Roman" w:cs="Times New Roman"/>
          </w:rPr>
          <w:t>Bogotá</w:t>
        </w:r>
      </w:hyperlink>
      <w:r w:rsidR="004B4533">
        <w:rPr>
          <w:rFonts w:ascii="Times New Roman" w:eastAsia="Times New Roman" w:hAnsi="Times New Roman" w:cs="Times New Roman"/>
        </w:rPr>
        <w:t>, </w:t>
      </w:r>
      <w:hyperlink r:id="rId14">
        <w:r w:rsidR="004B4533">
          <w:rPr>
            <w:rFonts w:ascii="Times New Roman" w:eastAsia="Times New Roman" w:hAnsi="Times New Roman" w:cs="Times New Roman"/>
          </w:rPr>
          <w:t>TransMilenio</w:t>
        </w:r>
      </w:hyperlink>
      <w:r w:rsidR="004B4533">
        <w:rPr>
          <w:rFonts w:ascii="Times New Roman" w:eastAsia="Times New Roman" w:hAnsi="Times New Roman" w:cs="Times New Roman"/>
        </w:rPr>
        <w:t>.</w:t>
      </w:r>
    </w:p>
    <w:p w14:paraId="1B088E6F"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rPr>
        <w:t>Un barrio llamado “La Pola” en </w:t>
      </w:r>
      <w:hyperlink r:id="rId15">
        <w:r>
          <w:rPr>
            <w:rFonts w:ascii="Times New Roman" w:eastAsia="Times New Roman" w:hAnsi="Times New Roman" w:cs="Times New Roman"/>
          </w:rPr>
          <w:t>Ibagué</w:t>
        </w:r>
      </w:hyperlink>
      <w:r>
        <w:rPr>
          <w:rFonts w:ascii="Times New Roman" w:eastAsia="Times New Roman" w:hAnsi="Times New Roman" w:cs="Times New Roman"/>
        </w:rPr>
        <w:t>, en su honor.</w:t>
      </w:r>
    </w:p>
    <w:p w14:paraId="324CF0BF"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rPr>
        <w:t>Un parque llamado “La Pola” en </w:t>
      </w:r>
      <w:hyperlink r:id="rId16">
        <w:r>
          <w:rPr>
            <w:rFonts w:ascii="Times New Roman" w:eastAsia="Times New Roman" w:hAnsi="Times New Roman" w:cs="Times New Roman"/>
          </w:rPr>
          <w:t>La Plata, Huila</w:t>
        </w:r>
      </w:hyperlink>
      <w:r>
        <w:rPr>
          <w:rFonts w:ascii="Times New Roman" w:eastAsia="Times New Roman" w:hAnsi="Times New Roman" w:cs="Times New Roman"/>
        </w:rPr>
        <w:t> en su honor.</w:t>
      </w:r>
    </w:p>
    <w:p w14:paraId="4CBCA09C"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rPr>
        <w:t>Un parque llamado "La Pola" en el municipio de Ipiales, Nariño en su honor.</w:t>
      </w:r>
    </w:p>
    <w:p w14:paraId="7B6A569C"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rPr>
        <w:t>Un barrio y un colegio: la Institución Educativa Policarpa Salavarrieta, en el sur de </w:t>
      </w:r>
      <w:hyperlink r:id="rId17">
        <w:r>
          <w:rPr>
            <w:rFonts w:ascii="Times New Roman" w:eastAsia="Times New Roman" w:hAnsi="Times New Roman" w:cs="Times New Roman"/>
          </w:rPr>
          <w:t>Montería</w:t>
        </w:r>
      </w:hyperlink>
      <w:r>
        <w:rPr>
          <w:rFonts w:ascii="Times New Roman" w:eastAsia="Times New Roman" w:hAnsi="Times New Roman" w:cs="Times New Roman"/>
        </w:rPr>
        <w:t>.</w:t>
      </w:r>
    </w:p>
    <w:p w14:paraId="3989ABFD"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highlight w:val="white"/>
        </w:rPr>
        <w:t>Policarpa Salavarrieta estuvo plasmada en la moneda de 5 pesos de 1980 a 1988, y en el billete de 10.000 pesos colombianos, impreso desde 1995 hasta 2016.</w:t>
      </w:r>
    </w:p>
    <w:p w14:paraId="7197D26A" w14:textId="77777777" w:rsidR="0001640C" w:rsidRDefault="004B4533">
      <w:pPr>
        <w:numPr>
          <w:ilvl w:val="0"/>
          <w:numId w:val="2"/>
        </w:numPr>
        <w:shd w:val="clear" w:color="auto" w:fill="FFFFFF"/>
        <w:spacing w:after="24"/>
        <w:ind w:left="384"/>
        <w:jc w:val="both"/>
        <w:rPr>
          <w:rFonts w:ascii="Times New Roman" w:eastAsia="Times New Roman" w:hAnsi="Times New Roman" w:cs="Times New Roman"/>
        </w:rPr>
      </w:pPr>
      <w:r>
        <w:rPr>
          <w:rFonts w:ascii="Times New Roman" w:eastAsia="Times New Roman" w:hAnsi="Times New Roman" w:cs="Times New Roman"/>
        </w:rPr>
        <w:t>Escultura de Policarpa Salavarrieta en Chiquinquirá (Boyacá).</w:t>
      </w:r>
    </w:p>
    <w:p w14:paraId="68700D9D" w14:textId="77777777" w:rsidR="0001640C" w:rsidRDefault="0001640C">
      <w:pPr>
        <w:shd w:val="clear" w:color="auto" w:fill="FFFFFF"/>
        <w:spacing w:after="24"/>
        <w:jc w:val="both"/>
        <w:rPr>
          <w:rFonts w:ascii="Times New Roman" w:eastAsia="Times New Roman" w:hAnsi="Times New Roman" w:cs="Times New Roman"/>
        </w:rPr>
      </w:pPr>
    </w:p>
    <w:p w14:paraId="2DC72976" w14:textId="77777777" w:rsidR="0001640C" w:rsidRDefault="004B4533">
      <w:pPr>
        <w:shd w:val="clear" w:color="auto" w:fill="FFFFFF"/>
        <w:spacing w:after="24"/>
        <w:jc w:val="both"/>
        <w:rPr>
          <w:rFonts w:ascii="Times New Roman" w:eastAsia="Times New Roman" w:hAnsi="Times New Roman" w:cs="Times New Roman"/>
          <w:b/>
        </w:rPr>
      </w:pPr>
      <w:r>
        <w:rPr>
          <w:rFonts w:ascii="Times New Roman" w:eastAsia="Times New Roman" w:hAnsi="Times New Roman" w:cs="Times New Roman"/>
          <w:b/>
        </w:rPr>
        <w:t>Figura 1.</w:t>
      </w:r>
    </w:p>
    <w:p w14:paraId="4C8E5D26" w14:textId="77777777" w:rsidR="0001640C" w:rsidRDefault="0001640C">
      <w:pPr>
        <w:shd w:val="clear" w:color="auto" w:fill="FFFFFF"/>
        <w:spacing w:after="24"/>
        <w:jc w:val="both"/>
        <w:rPr>
          <w:rFonts w:ascii="Times New Roman" w:eastAsia="Times New Roman" w:hAnsi="Times New Roman" w:cs="Times New Roman"/>
          <w:b/>
        </w:rPr>
      </w:pPr>
    </w:p>
    <w:p w14:paraId="0C984703" w14:textId="77777777" w:rsidR="0001640C" w:rsidRDefault="004B4533">
      <w:pPr>
        <w:shd w:val="clear" w:color="auto" w:fill="FFFFFF"/>
        <w:spacing w:after="24"/>
        <w:jc w:val="both"/>
        <w:rPr>
          <w:rFonts w:ascii="Times New Roman" w:eastAsia="Times New Roman" w:hAnsi="Times New Roman" w:cs="Times New Roman"/>
          <w:i/>
        </w:rPr>
      </w:pPr>
      <w:r>
        <w:rPr>
          <w:rFonts w:ascii="Times New Roman" w:eastAsia="Times New Roman" w:hAnsi="Times New Roman" w:cs="Times New Roman"/>
          <w:i/>
        </w:rPr>
        <w:t>Billete de 10.000 pesos. Homenaje conmemorativo a Policarpa Salavarrieta.</w:t>
      </w:r>
    </w:p>
    <w:p w14:paraId="48E8E726" w14:textId="77777777" w:rsidR="0001640C" w:rsidRDefault="004B4533">
      <w:pPr>
        <w:shd w:val="clear" w:color="auto" w:fill="FFFFFF"/>
        <w:spacing w:after="24"/>
        <w:jc w:val="center"/>
        <w:rPr>
          <w:rFonts w:ascii="Times New Roman" w:eastAsia="Times New Roman" w:hAnsi="Times New Roman" w:cs="Times New Roman"/>
        </w:rPr>
      </w:pPr>
      <w:r>
        <w:rPr>
          <w:rFonts w:ascii="Times New Roman" w:eastAsia="Times New Roman" w:hAnsi="Times New Roman" w:cs="Times New Roman"/>
          <w:noProof/>
          <w:lang w:val="es-CO" w:eastAsia="es-CO"/>
        </w:rPr>
        <w:drawing>
          <wp:inline distT="114300" distB="114300" distL="114300" distR="114300" wp14:anchorId="5A19B7D8" wp14:editId="27AEBB1A">
            <wp:extent cx="4036219" cy="1977294"/>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4036219" cy="1977294"/>
                    </a:xfrm>
                    <a:prstGeom prst="rect">
                      <a:avLst/>
                    </a:prstGeom>
                    <a:ln/>
                  </pic:spPr>
                </pic:pic>
              </a:graphicData>
            </a:graphic>
          </wp:inline>
        </w:drawing>
      </w:r>
    </w:p>
    <w:p w14:paraId="29F88B53" w14:textId="77777777" w:rsidR="0001640C" w:rsidRDefault="004B4533">
      <w:pPr>
        <w:shd w:val="clear" w:color="auto" w:fill="FFFFFF"/>
        <w:spacing w:after="24"/>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Fuente: Banco de la República (s.f.)</w:t>
      </w:r>
    </w:p>
    <w:p w14:paraId="3F05C5EB" w14:textId="77777777" w:rsidR="0001640C" w:rsidRDefault="0001640C">
      <w:pPr>
        <w:jc w:val="both"/>
        <w:rPr>
          <w:rFonts w:ascii="Times New Roman" w:eastAsia="Times New Roman" w:hAnsi="Times New Roman" w:cs="Times New Roman"/>
        </w:rPr>
      </w:pPr>
    </w:p>
    <w:p w14:paraId="5B86AF3F"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EN AMÉRICA</w:t>
      </w:r>
    </w:p>
    <w:p w14:paraId="58FDECC9" w14:textId="77777777" w:rsidR="0001640C" w:rsidRDefault="0001640C">
      <w:pPr>
        <w:jc w:val="both"/>
        <w:rPr>
          <w:rFonts w:ascii="Times New Roman" w:eastAsia="Times New Roman" w:hAnsi="Times New Roman" w:cs="Times New Roman"/>
          <w:b/>
        </w:rPr>
      </w:pPr>
    </w:p>
    <w:p w14:paraId="2071C040" w14:textId="77777777" w:rsidR="0001640C" w:rsidRDefault="004B4533">
      <w:pPr>
        <w:numPr>
          <w:ilvl w:val="0"/>
          <w:numId w:val="3"/>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lastRenderedPageBreak/>
        <w:t>En </w:t>
      </w:r>
      <w:hyperlink r:id="rId19">
        <w:r>
          <w:rPr>
            <w:rFonts w:ascii="Times New Roman" w:eastAsia="Times New Roman" w:hAnsi="Times New Roman" w:cs="Times New Roman"/>
          </w:rPr>
          <w:t>Buenos Aires</w:t>
        </w:r>
      </w:hyperlink>
      <w:r>
        <w:rPr>
          <w:rFonts w:ascii="Times New Roman" w:eastAsia="Times New Roman" w:hAnsi="Times New Roman" w:cs="Times New Roman"/>
        </w:rPr>
        <w:t>, </w:t>
      </w:r>
      <w:hyperlink r:id="rId20">
        <w:r>
          <w:rPr>
            <w:rFonts w:ascii="Times New Roman" w:eastAsia="Times New Roman" w:hAnsi="Times New Roman" w:cs="Times New Roman"/>
          </w:rPr>
          <w:t>Argentina</w:t>
        </w:r>
      </w:hyperlink>
      <w:r>
        <w:rPr>
          <w:rFonts w:ascii="Times New Roman" w:eastAsia="Times New Roman" w:hAnsi="Times New Roman" w:cs="Times New Roman"/>
        </w:rPr>
        <w:t xml:space="preserve">, por ordenanza de la municipalidad del 27 de noviembre de 1893, se dio el nombre de “Pola” a una calle que atraviesa los barrios de Villa Lugano, Mataderos y Liniers y a una estación tranviaria del metro. </w:t>
      </w:r>
    </w:p>
    <w:p w14:paraId="46E919F0" w14:textId="77777777" w:rsidR="0001640C" w:rsidRDefault="004B4533">
      <w:pPr>
        <w:numPr>
          <w:ilvl w:val="0"/>
          <w:numId w:val="3"/>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t>La obra de teatro </w:t>
      </w:r>
      <w:r>
        <w:rPr>
          <w:rFonts w:ascii="Times New Roman" w:eastAsia="Times New Roman" w:hAnsi="Times New Roman" w:cs="Times New Roman"/>
          <w:i/>
        </w:rPr>
        <w:t>Pola Salavarrieta, drama histórico en cuatro actos,</w:t>
      </w:r>
      <w:r>
        <w:rPr>
          <w:rFonts w:ascii="Times New Roman" w:eastAsia="Times New Roman" w:hAnsi="Times New Roman" w:cs="Times New Roman"/>
        </w:rPr>
        <w:t> del político e historiador argentino </w:t>
      </w:r>
      <w:hyperlink r:id="rId21">
        <w:r>
          <w:rPr>
            <w:rFonts w:ascii="Times New Roman" w:eastAsia="Times New Roman" w:hAnsi="Times New Roman" w:cs="Times New Roman"/>
          </w:rPr>
          <w:t>Bartolomé Mitre</w:t>
        </w:r>
      </w:hyperlink>
      <w:r>
        <w:rPr>
          <w:rFonts w:ascii="Times New Roman" w:eastAsia="Times New Roman" w:hAnsi="Times New Roman" w:cs="Times New Roman"/>
        </w:rPr>
        <w:t> (1838).</w:t>
      </w:r>
    </w:p>
    <w:p w14:paraId="7794D8FC" w14:textId="77777777" w:rsidR="0001640C" w:rsidRDefault="004B4533">
      <w:pPr>
        <w:numPr>
          <w:ilvl w:val="0"/>
          <w:numId w:val="4"/>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t>Himno a La Pola (incluido en el </w:t>
      </w:r>
      <w:r>
        <w:rPr>
          <w:rFonts w:ascii="Times New Roman" w:eastAsia="Times New Roman" w:hAnsi="Times New Roman" w:cs="Times New Roman"/>
          <w:i/>
        </w:rPr>
        <w:t>Cancionero argentino</w:t>
      </w:r>
      <w:r>
        <w:rPr>
          <w:rFonts w:ascii="Times New Roman" w:eastAsia="Times New Roman" w:hAnsi="Times New Roman" w:cs="Times New Roman"/>
        </w:rPr>
        <w:t xml:space="preserve">) en 1839. </w:t>
      </w:r>
    </w:p>
    <w:p w14:paraId="245542B8" w14:textId="77777777" w:rsidR="0001640C" w:rsidRDefault="004B4533">
      <w:pPr>
        <w:numPr>
          <w:ilvl w:val="0"/>
          <w:numId w:val="5"/>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t>En 1870, durante el gobierno de </w:t>
      </w:r>
      <w:hyperlink r:id="rId22">
        <w:r>
          <w:rPr>
            <w:rFonts w:ascii="Times New Roman" w:eastAsia="Times New Roman" w:hAnsi="Times New Roman" w:cs="Times New Roman"/>
          </w:rPr>
          <w:t>José Balta</w:t>
        </w:r>
      </w:hyperlink>
      <w:r>
        <w:rPr>
          <w:rFonts w:ascii="Times New Roman" w:eastAsia="Times New Roman" w:hAnsi="Times New Roman" w:cs="Times New Roman"/>
        </w:rPr>
        <w:t>, se inauguró la estatua de la libertad con la imagen de Policarpa Salavarrieta, en honor a la colonia colombiana de residentes en </w:t>
      </w:r>
      <w:hyperlink r:id="rId23">
        <w:r>
          <w:rPr>
            <w:rFonts w:ascii="Times New Roman" w:eastAsia="Times New Roman" w:hAnsi="Times New Roman" w:cs="Times New Roman"/>
          </w:rPr>
          <w:t>Piura</w:t>
        </w:r>
      </w:hyperlink>
      <w:r>
        <w:rPr>
          <w:rFonts w:ascii="Times New Roman" w:eastAsia="Times New Roman" w:hAnsi="Times New Roman" w:cs="Times New Roman"/>
        </w:rPr>
        <w:t> (</w:t>
      </w:r>
      <w:hyperlink r:id="rId24">
        <w:r>
          <w:rPr>
            <w:rFonts w:ascii="Times New Roman" w:eastAsia="Times New Roman" w:hAnsi="Times New Roman" w:cs="Times New Roman"/>
          </w:rPr>
          <w:t>Perú</w:t>
        </w:r>
      </w:hyperlink>
      <w:r>
        <w:rPr>
          <w:rFonts w:ascii="Times New Roman" w:eastAsia="Times New Roman" w:hAnsi="Times New Roman" w:cs="Times New Roman"/>
        </w:rPr>
        <w:t xml:space="preserve">). </w:t>
      </w:r>
    </w:p>
    <w:p w14:paraId="75ED5A64" w14:textId="77777777" w:rsidR="0001640C" w:rsidRDefault="004B4533">
      <w:pPr>
        <w:numPr>
          <w:ilvl w:val="0"/>
          <w:numId w:val="5"/>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t>En 1944, la dramaturga </w:t>
      </w:r>
      <w:hyperlink r:id="rId25">
        <w:r>
          <w:rPr>
            <w:rFonts w:ascii="Times New Roman" w:eastAsia="Times New Roman" w:hAnsi="Times New Roman" w:cs="Times New Roman"/>
          </w:rPr>
          <w:t>uruguaya</w:t>
        </w:r>
      </w:hyperlink>
      <w:r>
        <w:rPr>
          <w:rFonts w:ascii="Times New Roman" w:eastAsia="Times New Roman" w:hAnsi="Times New Roman" w:cs="Times New Roman"/>
        </w:rPr>
        <w:t> </w:t>
      </w:r>
      <w:hyperlink r:id="rId26">
        <w:r>
          <w:rPr>
            <w:rFonts w:ascii="Times New Roman" w:eastAsia="Times New Roman" w:hAnsi="Times New Roman" w:cs="Times New Roman"/>
          </w:rPr>
          <w:t>Sarah Bollo</w:t>
        </w:r>
      </w:hyperlink>
      <w:r>
        <w:rPr>
          <w:rFonts w:ascii="Times New Roman" w:eastAsia="Times New Roman" w:hAnsi="Times New Roman" w:cs="Times New Roman"/>
        </w:rPr>
        <w:t> llevó a escena la tragedia histórica titulada </w:t>
      </w:r>
      <w:r>
        <w:rPr>
          <w:rFonts w:ascii="Times New Roman" w:eastAsia="Times New Roman" w:hAnsi="Times New Roman" w:cs="Times New Roman"/>
          <w:i/>
        </w:rPr>
        <w:t>Pola Salavarrieta.</w:t>
      </w:r>
    </w:p>
    <w:p w14:paraId="2DB1AE75" w14:textId="77777777" w:rsidR="0001640C" w:rsidRDefault="004B4533">
      <w:pPr>
        <w:numPr>
          <w:ilvl w:val="0"/>
          <w:numId w:val="5"/>
        </w:numPr>
        <w:shd w:val="clear" w:color="auto" w:fill="FFFFFF"/>
        <w:ind w:left="384"/>
        <w:jc w:val="both"/>
        <w:rPr>
          <w:rFonts w:ascii="Times New Roman" w:eastAsia="Times New Roman" w:hAnsi="Times New Roman" w:cs="Times New Roman"/>
        </w:rPr>
      </w:pPr>
      <w:r>
        <w:rPr>
          <w:rFonts w:ascii="Times New Roman" w:eastAsia="Times New Roman" w:hAnsi="Times New Roman" w:cs="Times New Roman"/>
        </w:rPr>
        <w:t>En </w:t>
      </w:r>
      <w:hyperlink r:id="rId27">
        <w:r>
          <w:rPr>
            <w:rFonts w:ascii="Times New Roman" w:eastAsia="Times New Roman" w:hAnsi="Times New Roman" w:cs="Times New Roman"/>
          </w:rPr>
          <w:t>Panamá</w:t>
        </w:r>
      </w:hyperlink>
      <w:r>
        <w:rPr>
          <w:rFonts w:ascii="Times New Roman" w:eastAsia="Times New Roman" w:hAnsi="Times New Roman" w:cs="Times New Roman"/>
        </w:rPr>
        <w:t> inspiró el mito de </w:t>
      </w:r>
      <w:hyperlink r:id="rId28">
        <w:r>
          <w:rPr>
            <w:rFonts w:ascii="Times New Roman" w:eastAsia="Times New Roman" w:hAnsi="Times New Roman" w:cs="Times New Roman"/>
          </w:rPr>
          <w:t>Rufina Alfaro</w:t>
        </w:r>
      </w:hyperlink>
      <w:r>
        <w:rPr>
          <w:rFonts w:ascii="Times New Roman" w:eastAsia="Times New Roman" w:hAnsi="Times New Roman" w:cs="Times New Roman"/>
        </w:rPr>
        <w:t>, heroína legendaria vecina de la </w:t>
      </w:r>
      <w:hyperlink r:id="rId29">
        <w:r>
          <w:rPr>
            <w:rFonts w:ascii="Times New Roman" w:eastAsia="Times New Roman" w:hAnsi="Times New Roman" w:cs="Times New Roman"/>
          </w:rPr>
          <w:t>Villa de Los Santos</w:t>
        </w:r>
      </w:hyperlink>
      <w:r>
        <w:rPr>
          <w:rFonts w:ascii="Times New Roman" w:eastAsia="Times New Roman" w:hAnsi="Times New Roman" w:cs="Times New Roman"/>
        </w:rPr>
        <w:t>, asociada al grito de independencia del istmo de España.</w:t>
      </w:r>
    </w:p>
    <w:p w14:paraId="147E8936" w14:textId="77777777" w:rsidR="0001640C" w:rsidRDefault="0001640C">
      <w:pPr>
        <w:jc w:val="both"/>
        <w:rPr>
          <w:rFonts w:ascii="Times New Roman" w:eastAsia="Times New Roman" w:hAnsi="Times New Roman" w:cs="Times New Roman"/>
          <w:b/>
        </w:rPr>
      </w:pPr>
    </w:p>
    <w:p w14:paraId="556293C3"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MONEDA CONMEMORATIVA</w:t>
      </w:r>
    </w:p>
    <w:p w14:paraId="41CB940E" w14:textId="77777777" w:rsidR="0001640C" w:rsidRDefault="0001640C">
      <w:pPr>
        <w:jc w:val="both"/>
        <w:rPr>
          <w:rFonts w:ascii="Times New Roman" w:eastAsia="Times New Roman" w:hAnsi="Times New Roman" w:cs="Times New Roman"/>
          <w:b/>
        </w:rPr>
      </w:pPr>
    </w:p>
    <w:p w14:paraId="39FBAC5C"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El 10 de enero de 2023, el Banco de la República pone a disposición del público la moneda conmemorativa del Bicentenario del sacrificio de la heroína nacional Policarpa Salavarrieta.</w:t>
      </w:r>
    </w:p>
    <w:p w14:paraId="07102602" w14:textId="77777777" w:rsidR="0001640C" w:rsidRDefault="0001640C">
      <w:pPr>
        <w:jc w:val="both"/>
        <w:rPr>
          <w:rFonts w:ascii="Times New Roman" w:eastAsia="Times New Roman" w:hAnsi="Times New Roman" w:cs="Times New Roman"/>
        </w:rPr>
      </w:pPr>
    </w:p>
    <w:p w14:paraId="118ED360"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Figura 2.</w:t>
      </w:r>
    </w:p>
    <w:p w14:paraId="2F4FC9A4" w14:textId="77777777" w:rsidR="0001640C" w:rsidRDefault="0001640C">
      <w:pPr>
        <w:jc w:val="both"/>
        <w:rPr>
          <w:rFonts w:ascii="Times New Roman" w:eastAsia="Times New Roman" w:hAnsi="Times New Roman" w:cs="Times New Roman"/>
          <w:b/>
        </w:rPr>
      </w:pPr>
    </w:p>
    <w:p w14:paraId="22F76229" w14:textId="77777777" w:rsidR="0001640C" w:rsidRDefault="004B4533">
      <w:pPr>
        <w:jc w:val="both"/>
        <w:rPr>
          <w:rFonts w:ascii="Times New Roman" w:eastAsia="Times New Roman" w:hAnsi="Times New Roman" w:cs="Times New Roman"/>
          <w:i/>
        </w:rPr>
      </w:pPr>
      <w:r>
        <w:rPr>
          <w:rFonts w:ascii="Times New Roman" w:eastAsia="Times New Roman" w:hAnsi="Times New Roman" w:cs="Times New Roman"/>
          <w:i/>
        </w:rPr>
        <w:t>Moneda conmemorativa por el Bicentenario del sacrificio de Policarpa Salavarrieta</w:t>
      </w:r>
    </w:p>
    <w:p w14:paraId="077D809C" w14:textId="77777777" w:rsidR="0001640C" w:rsidRDefault="004B4533">
      <w:pPr>
        <w:jc w:val="right"/>
        <w:rPr>
          <w:rFonts w:ascii="Times New Roman" w:eastAsia="Times New Roman" w:hAnsi="Times New Roman" w:cs="Times New Roman"/>
        </w:rPr>
      </w:pPr>
      <w:r>
        <w:rPr>
          <w:rFonts w:ascii="Times New Roman" w:eastAsia="Times New Roman" w:hAnsi="Times New Roman" w:cs="Times New Roman"/>
          <w:noProof/>
          <w:lang w:val="es-CO" w:eastAsia="es-CO"/>
        </w:rPr>
        <w:drawing>
          <wp:inline distT="114300" distB="114300" distL="114300" distR="114300" wp14:anchorId="754CA1EB" wp14:editId="17ECAD88">
            <wp:extent cx="5612130" cy="21717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5612130" cy="2171700"/>
                    </a:xfrm>
                    <a:prstGeom prst="rect">
                      <a:avLst/>
                    </a:prstGeom>
                    <a:ln/>
                  </pic:spPr>
                </pic:pic>
              </a:graphicData>
            </a:graphic>
          </wp:inline>
        </w:drawing>
      </w:r>
    </w:p>
    <w:p w14:paraId="74BB9F9C" w14:textId="77777777" w:rsidR="0001640C" w:rsidRDefault="004B4533">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Fuente: Banco de la República (s.f.)</w:t>
      </w:r>
    </w:p>
    <w:p w14:paraId="5CE713B0" w14:textId="77777777" w:rsidR="0001640C" w:rsidRDefault="0001640C">
      <w:pPr>
        <w:jc w:val="both"/>
        <w:rPr>
          <w:rFonts w:ascii="Times New Roman" w:eastAsia="Times New Roman" w:hAnsi="Times New Roman" w:cs="Times New Roman"/>
          <w:b/>
        </w:rPr>
      </w:pPr>
    </w:p>
    <w:p w14:paraId="27EB360F"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SELLOS</w:t>
      </w:r>
    </w:p>
    <w:p w14:paraId="05859F3D" w14:textId="77777777" w:rsidR="0001640C" w:rsidRDefault="0001640C">
      <w:pPr>
        <w:jc w:val="both"/>
        <w:rPr>
          <w:rFonts w:ascii="Times New Roman" w:eastAsia="Times New Roman" w:hAnsi="Times New Roman" w:cs="Times New Roman"/>
          <w:b/>
        </w:rPr>
      </w:pPr>
    </w:p>
    <w:p w14:paraId="723AAD11"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Para conmemorar el centésimo aniversario de la independencia de Colombia en 1910, el Congreso de la República de Colombia emitió una serie de sellos que presentaban las imágenes de algunos de los Héroes de la Independencia. </w:t>
      </w:r>
    </w:p>
    <w:p w14:paraId="500E5112" w14:textId="77777777" w:rsidR="0001640C" w:rsidRDefault="0001640C">
      <w:pPr>
        <w:jc w:val="both"/>
        <w:rPr>
          <w:rFonts w:ascii="Times New Roman" w:eastAsia="Times New Roman" w:hAnsi="Times New Roman" w:cs="Times New Roman"/>
        </w:rPr>
      </w:pPr>
    </w:p>
    <w:p w14:paraId="50490EF5"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Finalmente, elegir entre tantas mujeres luchadoras y lideresas para realizar un reconocimiento en el Concejo de Bogotá, mediante la elaboración e instalación de un busto dentro de las instalaciones de la Corporación, resulta ser una labor compleja, en el entendido que son muchas las merecedoras de este homenaje. No obstante, aquí se propone destacar a una de las principales lideresas para la historia colombiana y de la ciudad.</w:t>
      </w:r>
    </w:p>
    <w:p w14:paraId="1DCFAAAB" w14:textId="77777777" w:rsidR="0001640C" w:rsidRDefault="0001640C">
      <w:pPr>
        <w:jc w:val="both"/>
        <w:rPr>
          <w:rFonts w:ascii="Times New Roman" w:eastAsia="Times New Roman" w:hAnsi="Times New Roman" w:cs="Times New Roman"/>
        </w:rPr>
      </w:pPr>
    </w:p>
    <w:p w14:paraId="42D3178C"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3.1. DEFINICIONES</w:t>
      </w:r>
    </w:p>
    <w:p w14:paraId="373B1CE4" w14:textId="77777777" w:rsidR="0001640C" w:rsidRDefault="0001640C">
      <w:pPr>
        <w:jc w:val="both"/>
        <w:rPr>
          <w:rFonts w:ascii="Times New Roman" w:eastAsia="Times New Roman" w:hAnsi="Times New Roman" w:cs="Times New Roman"/>
        </w:rPr>
      </w:pPr>
    </w:p>
    <w:p w14:paraId="71D03828"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Para el presente Proyecto de Acuerdo, es conveniente precisar los siguientes términos:</w:t>
      </w:r>
    </w:p>
    <w:p w14:paraId="5C0754DC" w14:textId="77777777" w:rsidR="0001640C" w:rsidRDefault="0001640C">
      <w:pPr>
        <w:jc w:val="both"/>
        <w:rPr>
          <w:rFonts w:ascii="Times New Roman" w:eastAsia="Times New Roman" w:hAnsi="Times New Roman" w:cs="Times New Roman"/>
        </w:rPr>
      </w:pPr>
    </w:p>
    <w:p w14:paraId="204F5F34"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PATRIMONIO CULTURAL DE LA NACIÓN</w:t>
      </w:r>
    </w:p>
    <w:p w14:paraId="20041B38" w14:textId="77777777" w:rsidR="0001640C" w:rsidRDefault="0001640C">
      <w:pPr>
        <w:jc w:val="both"/>
        <w:rPr>
          <w:rFonts w:ascii="Times New Roman" w:eastAsia="Times New Roman" w:hAnsi="Times New Roman" w:cs="Times New Roman"/>
          <w:b/>
        </w:rPr>
      </w:pPr>
    </w:p>
    <w:p w14:paraId="5894F834" w14:textId="4683F87B"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De acuerdo con </w:t>
      </w:r>
      <w:r w:rsidR="0057602A">
        <w:rPr>
          <w:rFonts w:ascii="Times New Roman" w:eastAsia="Times New Roman" w:hAnsi="Times New Roman" w:cs="Times New Roman"/>
        </w:rPr>
        <w:t>el</w:t>
      </w:r>
      <w:r>
        <w:rPr>
          <w:rFonts w:ascii="Times New Roman" w:eastAsia="Times New Roman" w:hAnsi="Times New Roman" w:cs="Times New Roman"/>
        </w:rPr>
        <w:t xml:space="preserve"> artículo 1 de la Ley 1185 de 2008, que modificó el artículo 4 de la Ley 397 de 1997 (Ley General de Cultural): </w:t>
      </w:r>
    </w:p>
    <w:p w14:paraId="6602B9F5" w14:textId="77777777" w:rsidR="0001640C" w:rsidRDefault="0001640C">
      <w:pPr>
        <w:jc w:val="both"/>
        <w:rPr>
          <w:rFonts w:ascii="Times New Roman" w:eastAsia="Times New Roman" w:hAnsi="Times New Roman" w:cs="Times New Roman"/>
        </w:rPr>
      </w:pPr>
    </w:p>
    <w:p w14:paraId="11A4C865"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“El patrimonio cultural de la Nación está constituido por todos los bienes materiales, las manifestaciones inmateriales, los productos y las representaciones de la cultura que son expresión de la nacionalidad colombiana, tales como la lengua castellana, las lenguas y dialectos de las comunidades indígenas, negras y creoles, la tradición, el conocimiento ancestral, el paisaje cultural, las costumbres y los hábitos, así como los bienes materiales de naturaleza mueble e inmueble a los que se les atribuye, entre otros, especial interés histórico, artístico, científico, estético o simbólico en ámbitos como el plástico, arquitectónico, urbano, arqueológico, lingüístico, sonoro, musical, audiovisual, fílmico, testimonial, documental, literario, bibliográfico, museológico o antropológico”.</w:t>
      </w:r>
    </w:p>
    <w:p w14:paraId="79A87CBE" w14:textId="77777777" w:rsidR="0001640C" w:rsidRDefault="0001640C">
      <w:pPr>
        <w:ind w:left="720"/>
        <w:jc w:val="both"/>
        <w:rPr>
          <w:rFonts w:ascii="Times New Roman" w:eastAsia="Times New Roman" w:hAnsi="Times New Roman" w:cs="Times New Roman"/>
          <w:b/>
        </w:rPr>
      </w:pPr>
    </w:p>
    <w:p w14:paraId="4FC66BC0"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BIEN DE INTERÉS CULTURAL (BIC)</w:t>
      </w:r>
    </w:p>
    <w:p w14:paraId="0A207FCB" w14:textId="77777777" w:rsidR="0001640C" w:rsidRDefault="0001640C">
      <w:pPr>
        <w:jc w:val="both"/>
        <w:rPr>
          <w:rFonts w:ascii="Times New Roman" w:eastAsia="Times New Roman" w:hAnsi="Times New Roman" w:cs="Times New Roman"/>
          <w:b/>
        </w:rPr>
      </w:pPr>
    </w:p>
    <w:p w14:paraId="1BD33676"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De igual manera, de acuerdo con el artículo 12 del Decreto 2358 de 2019, que modifica el artículo 2.4.1.10. del Título 1 de la Parte 4 del Libro 2 del Decreto 1080 de 2015, Único Reglamentario del Sector Cultura: </w:t>
      </w:r>
    </w:p>
    <w:p w14:paraId="10DD0AB0" w14:textId="77777777" w:rsidR="0001640C" w:rsidRDefault="0001640C">
      <w:pPr>
        <w:jc w:val="both"/>
        <w:rPr>
          <w:rFonts w:ascii="Times New Roman" w:eastAsia="Times New Roman" w:hAnsi="Times New Roman" w:cs="Times New Roman"/>
        </w:rPr>
      </w:pPr>
    </w:p>
    <w:p w14:paraId="0AEFAFCC" w14:textId="77777777" w:rsidR="0001640C" w:rsidRDefault="004B4533">
      <w:pPr>
        <w:ind w:left="720"/>
        <w:jc w:val="both"/>
      </w:pPr>
      <w:r>
        <w:rPr>
          <w:rFonts w:ascii="Times New Roman" w:eastAsia="Times New Roman" w:hAnsi="Times New Roman" w:cs="Times New Roman"/>
        </w:rPr>
        <w:t>“</w:t>
      </w:r>
      <w:r>
        <w:rPr>
          <w:rFonts w:ascii="Times New Roman" w:eastAsia="Times New Roman" w:hAnsi="Times New Roman" w:cs="Times New Roman"/>
          <w:i/>
        </w:rPr>
        <w:t xml:space="preserve">Son bienes de interés cultural BIC, aquellos que por sus valores y criterios representan la identidad nacional, declarados mediante acto administrativo por la </w:t>
      </w:r>
      <w:r>
        <w:rPr>
          <w:rFonts w:ascii="Times New Roman" w:eastAsia="Times New Roman" w:hAnsi="Times New Roman" w:cs="Times New Roman"/>
          <w:i/>
        </w:rPr>
        <w:lastRenderedPageBreak/>
        <w:t xml:space="preserve">entidad competente, quedando sometidos al régimen especial de protección definido en la ley; estos pueden ser de naturaleza mueble, inmueble o paisajes culturales”. </w:t>
      </w:r>
    </w:p>
    <w:p w14:paraId="2837DEE2" w14:textId="77777777" w:rsidR="0001640C" w:rsidRDefault="0001640C">
      <w:pPr>
        <w:jc w:val="both"/>
        <w:rPr>
          <w:color w:val="FF0000"/>
        </w:rPr>
      </w:pPr>
    </w:p>
    <w:p w14:paraId="026E394E" w14:textId="0FAD3B75" w:rsidR="0001640C" w:rsidRDefault="004B4533">
      <w:pPr>
        <w:tabs>
          <w:tab w:val="left" w:pos="5103"/>
        </w:tabs>
        <w:jc w:val="both"/>
        <w:rPr>
          <w:rFonts w:ascii="Times New Roman" w:eastAsia="Times New Roman" w:hAnsi="Times New Roman" w:cs="Times New Roman"/>
        </w:rPr>
      </w:pPr>
      <w:r>
        <w:rPr>
          <w:rFonts w:ascii="Times New Roman" w:eastAsia="Times New Roman" w:hAnsi="Times New Roman" w:cs="Times New Roman"/>
        </w:rPr>
        <w:t xml:space="preserve">En consonancia con lo anterior, para la UNESCO, el patrimonio cultural está conformado por todos los bienes culturales a los que la sociedad </w:t>
      </w:r>
      <w:r w:rsidR="0059787A">
        <w:rPr>
          <w:rFonts w:ascii="Times New Roman" w:eastAsia="Times New Roman" w:hAnsi="Times New Roman" w:cs="Times New Roman"/>
        </w:rPr>
        <w:t>le</w:t>
      </w:r>
      <w:r>
        <w:rPr>
          <w:rFonts w:ascii="Times New Roman" w:eastAsia="Times New Roman" w:hAnsi="Times New Roman" w:cs="Times New Roman"/>
        </w:rPr>
        <w:t xml:space="preserve"> otorga una importancia a nivel histórico. Este puede ser material (mueble o inmueble) o inmaterial (ver ilustración 2).</w:t>
      </w:r>
    </w:p>
    <w:p w14:paraId="59991776" w14:textId="77777777" w:rsidR="0001640C" w:rsidRDefault="0001640C">
      <w:pPr>
        <w:tabs>
          <w:tab w:val="left" w:pos="5103"/>
        </w:tabs>
        <w:jc w:val="both"/>
      </w:pPr>
    </w:p>
    <w:p w14:paraId="6125F790" w14:textId="77777777" w:rsidR="0001640C" w:rsidRDefault="004B4533">
      <w:pPr>
        <w:keepNext/>
        <w:spacing w:after="200"/>
        <w:rPr>
          <w:rFonts w:ascii="Times New Roman" w:eastAsia="Times New Roman" w:hAnsi="Times New Roman" w:cs="Times New Roman"/>
          <w:b/>
        </w:rPr>
      </w:pPr>
      <w:r>
        <w:rPr>
          <w:rFonts w:ascii="Times New Roman" w:eastAsia="Times New Roman" w:hAnsi="Times New Roman" w:cs="Times New Roman"/>
          <w:b/>
        </w:rPr>
        <w:t xml:space="preserve">Figura 3. </w:t>
      </w:r>
    </w:p>
    <w:p w14:paraId="08973D29" w14:textId="77777777" w:rsidR="0001640C" w:rsidRDefault="004B4533">
      <w:pPr>
        <w:keepNext/>
        <w:spacing w:after="200"/>
        <w:rPr>
          <w:rFonts w:ascii="Times New Roman" w:eastAsia="Times New Roman" w:hAnsi="Times New Roman" w:cs="Times New Roman"/>
          <w:i/>
        </w:rPr>
      </w:pPr>
      <w:r>
        <w:rPr>
          <w:rFonts w:ascii="Times New Roman" w:eastAsia="Times New Roman" w:hAnsi="Times New Roman" w:cs="Times New Roman"/>
          <w:i/>
        </w:rPr>
        <w:t>Clasificación del patrimonio cultural</w:t>
      </w:r>
    </w:p>
    <w:p w14:paraId="2D120C50" w14:textId="77777777" w:rsidR="0001640C" w:rsidRDefault="004B4533">
      <w:pPr>
        <w:tabs>
          <w:tab w:val="left" w:pos="5103"/>
        </w:tabs>
        <w:jc w:val="center"/>
      </w:pPr>
      <w:r>
        <w:rPr>
          <w:rFonts w:ascii="Times New Roman" w:eastAsia="Times New Roman" w:hAnsi="Times New Roman" w:cs="Times New Roman"/>
          <w:noProof/>
          <w:lang w:val="es-CO" w:eastAsia="es-CO"/>
        </w:rPr>
        <w:drawing>
          <wp:inline distT="0" distB="0" distL="0" distR="0" wp14:anchorId="6DCA094E" wp14:editId="7AD3D970">
            <wp:extent cx="5610225" cy="213695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1"/>
                    <a:srcRect t="15511" b="20666"/>
                    <a:stretch>
                      <a:fillRect/>
                    </a:stretch>
                  </pic:blipFill>
                  <pic:spPr>
                    <a:xfrm>
                      <a:off x="0" y="0"/>
                      <a:ext cx="5610225" cy="2136950"/>
                    </a:xfrm>
                    <a:prstGeom prst="rect">
                      <a:avLst/>
                    </a:prstGeom>
                    <a:ln/>
                  </pic:spPr>
                </pic:pic>
              </a:graphicData>
            </a:graphic>
          </wp:inline>
        </w:drawing>
      </w:r>
    </w:p>
    <w:p w14:paraId="286F184E" w14:textId="77777777" w:rsidR="0001640C" w:rsidRDefault="004B4533">
      <w:pPr>
        <w:tabs>
          <w:tab w:val="left" w:pos="5103"/>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Fuente: Barahona y Cobos (2022)</w:t>
      </w:r>
    </w:p>
    <w:p w14:paraId="49042780" w14:textId="77777777" w:rsidR="0001640C" w:rsidRDefault="0001640C">
      <w:pPr>
        <w:jc w:val="both"/>
        <w:rPr>
          <w:color w:val="FF0000"/>
        </w:rPr>
      </w:pPr>
    </w:p>
    <w:p w14:paraId="3F6C380F" w14:textId="074A64C6" w:rsidR="0001640C" w:rsidRDefault="004B4533">
      <w:pPr>
        <w:jc w:val="both"/>
        <w:rPr>
          <w:rFonts w:ascii="Times New Roman" w:eastAsia="Times New Roman" w:hAnsi="Times New Roman" w:cs="Times New Roman"/>
        </w:rPr>
      </w:pPr>
      <w:r>
        <w:rPr>
          <w:rFonts w:ascii="Times New Roman" w:eastAsia="Times New Roman" w:hAnsi="Times New Roman" w:cs="Times New Roman"/>
        </w:rPr>
        <w:t>En respuesta a derecho de petición elevado a la Secretaría Distrital de Cultura, Recreación y Deporte con radicado del Concejo de Bogotá No. 2025EE6747, la Secretaría señaló que el reconocimiento oficial de la trayectoria de una personalidad pública con significación cultural relevante, se materializa o consolida por medio de una declaratoria como Bien de Interés Cultural (BIC) de patrimonio material del elemento que conmemora a dicho individuo o los eventos asociados a éste (esculturas, placas, plazoletas, etc.)</w:t>
      </w:r>
      <w:r w:rsidR="00B57228">
        <w:rPr>
          <w:rFonts w:ascii="Times New Roman" w:eastAsia="Times New Roman" w:hAnsi="Times New Roman" w:cs="Times New Roman"/>
        </w:rPr>
        <w:t xml:space="preserve"> (Secretaría de Cultura, Recreación y Deporte, 2025)</w:t>
      </w:r>
      <w:r>
        <w:rPr>
          <w:rFonts w:ascii="Times New Roman" w:eastAsia="Times New Roman" w:hAnsi="Times New Roman" w:cs="Times New Roman"/>
        </w:rPr>
        <w:t xml:space="preserve"> </w:t>
      </w:r>
    </w:p>
    <w:p w14:paraId="35AF7A21" w14:textId="77777777" w:rsidR="0001640C" w:rsidRDefault="0001640C">
      <w:pPr>
        <w:jc w:val="both"/>
        <w:rPr>
          <w:rFonts w:ascii="Times New Roman" w:eastAsia="Times New Roman" w:hAnsi="Times New Roman" w:cs="Times New Roman"/>
        </w:rPr>
      </w:pPr>
    </w:p>
    <w:p w14:paraId="27ED264C" w14:textId="7DEEBBAC"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Dicha entidad también expresó, frente a la pregunta de políticas o lineamientos existentes que regulen la instalación de bustos de personajes históricos en espacios públicos o institucionales, que el Decreto Distrital 149 de 2019 estableció la conformación y funcionamiento del Comité Distrital del Espacio público, la operación de la Ventanilla Única de Implantaciones Artísticas en el Espacio Público VIARTE y el trámite para la implantación, traslado y donación de expresiones artísticas de carácter permanente en el </w:t>
      </w:r>
      <w:r>
        <w:rPr>
          <w:rFonts w:ascii="Times New Roman" w:eastAsia="Times New Roman" w:hAnsi="Times New Roman" w:cs="Times New Roman"/>
        </w:rPr>
        <w:lastRenderedPageBreak/>
        <w:t>espacio público de la ciudad. Es la Secretaría Distrital de Cultura, Recreación y Deporte la encargada de expedir el acto administrativo que adopta la decisió</w:t>
      </w:r>
      <w:r w:rsidR="00B57228">
        <w:rPr>
          <w:rFonts w:ascii="Times New Roman" w:eastAsia="Times New Roman" w:hAnsi="Times New Roman" w:cs="Times New Roman"/>
        </w:rPr>
        <w:t>n (Secretaría de Cultura, Recreación y Deporte, 2025).</w:t>
      </w:r>
    </w:p>
    <w:p w14:paraId="4FE2F113" w14:textId="77777777" w:rsidR="0001640C" w:rsidRDefault="0001640C">
      <w:pPr>
        <w:jc w:val="both"/>
        <w:rPr>
          <w:rFonts w:ascii="Times New Roman" w:eastAsia="Times New Roman" w:hAnsi="Times New Roman" w:cs="Times New Roman"/>
        </w:rPr>
      </w:pPr>
    </w:p>
    <w:p w14:paraId="504739F9" w14:textId="7758F96B" w:rsidR="0001640C" w:rsidRDefault="004B4533">
      <w:pPr>
        <w:jc w:val="both"/>
        <w:rPr>
          <w:rFonts w:ascii="Times New Roman" w:eastAsia="Times New Roman" w:hAnsi="Times New Roman" w:cs="Times New Roman"/>
        </w:rPr>
      </w:pPr>
      <w:r>
        <w:rPr>
          <w:rFonts w:ascii="Times New Roman" w:eastAsia="Times New Roman" w:hAnsi="Times New Roman" w:cs="Times New Roman"/>
        </w:rPr>
        <w:t>Ahora bien, la entidad también precisó que la declaratoria de monumentos como bienes de interés cultural se encuentra reglamentada por la Ley General de Cultura, así como sus decretos reglamentarios. Para el caso de Bogotá, a través del Decreto 522 de 2023 se asigna a la Secretaría Distrital de Cultura, Recreación y Deporte, entre otras, las funciones de realizar la inclusión en la Lista Indicativa de Candidatos a Bienes de Interés Cultural del ámbito distrital de los bienes que podrían llegar a ser declarados como tal; así como efectuar la declaratoria o revocatoria de los bienes de interés cultural del ámbito distrital</w:t>
      </w:r>
      <w:r w:rsidR="00B57228">
        <w:rPr>
          <w:rFonts w:ascii="Times New Roman" w:eastAsia="Times New Roman" w:hAnsi="Times New Roman" w:cs="Times New Roman"/>
        </w:rPr>
        <w:t xml:space="preserve"> (Secretaría de Cultura, Recreación y Deporte, 2025).</w:t>
      </w:r>
    </w:p>
    <w:p w14:paraId="5787D7A7" w14:textId="77777777" w:rsidR="0001640C" w:rsidRDefault="0001640C">
      <w:pPr>
        <w:jc w:val="both"/>
        <w:rPr>
          <w:color w:val="FF0000"/>
        </w:rPr>
      </w:pPr>
    </w:p>
    <w:p w14:paraId="1169057A" w14:textId="77777777" w:rsidR="0001640C" w:rsidRDefault="0001640C">
      <w:pPr>
        <w:jc w:val="both"/>
        <w:rPr>
          <w:color w:val="FF0000"/>
        </w:rPr>
      </w:pPr>
    </w:p>
    <w:p w14:paraId="0503CAB4"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 ANÁLISIS JURÍDICO DE LA INICIATIVA</w:t>
      </w:r>
    </w:p>
    <w:p w14:paraId="7D840366" w14:textId="77777777" w:rsidR="0001640C" w:rsidRDefault="0001640C">
      <w:pPr>
        <w:rPr>
          <w:rFonts w:ascii="Times New Roman" w:eastAsia="Times New Roman" w:hAnsi="Times New Roman" w:cs="Times New Roman"/>
        </w:rPr>
      </w:pPr>
    </w:p>
    <w:p w14:paraId="4C83601B"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La actual iniciativa como fórmula de reconocimiento y reivindicación del papel de la mujer tiene asidero en la siguiente normativa.</w:t>
      </w:r>
    </w:p>
    <w:p w14:paraId="670AD5FB" w14:textId="77777777" w:rsidR="0001640C" w:rsidRDefault="0001640C">
      <w:pPr>
        <w:rPr>
          <w:rFonts w:ascii="Times New Roman" w:eastAsia="Times New Roman" w:hAnsi="Times New Roman" w:cs="Times New Roman"/>
        </w:rPr>
      </w:pPr>
    </w:p>
    <w:p w14:paraId="25BFE6C9"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4.1. MARCO INTERNACIONAL</w:t>
      </w:r>
    </w:p>
    <w:p w14:paraId="4E057660" w14:textId="77777777" w:rsidR="0001640C" w:rsidRDefault="0001640C">
      <w:pPr>
        <w:rPr>
          <w:rFonts w:ascii="Times New Roman" w:eastAsia="Times New Roman" w:hAnsi="Times New Roman" w:cs="Times New Roman"/>
        </w:rPr>
      </w:pPr>
    </w:p>
    <w:p w14:paraId="429B140C"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4.1.1. Objetivos de Desarrollo Sostenible</w:t>
      </w:r>
    </w:p>
    <w:p w14:paraId="525CDBA9" w14:textId="77777777" w:rsidR="0001640C" w:rsidRDefault="0001640C">
      <w:pPr>
        <w:rPr>
          <w:rFonts w:ascii="Times New Roman" w:eastAsia="Times New Roman" w:hAnsi="Times New Roman" w:cs="Times New Roman"/>
        </w:rPr>
      </w:pPr>
    </w:p>
    <w:p w14:paraId="4F63D14A"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ODS 5. Igualdad de género: </w:t>
      </w:r>
      <w:r>
        <w:rPr>
          <w:rFonts w:ascii="Times New Roman" w:eastAsia="Times New Roman" w:hAnsi="Times New Roman" w:cs="Times New Roman"/>
        </w:rPr>
        <w:t>Lograr la igualdad entre los géneros y empoderar a todas las mujeres y las niñas.</w:t>
      </w:r>
    </w:p>
    <w:p w14:paraId="4360D721" w14:textId="77777777" w:rsidR="0001640C" w:rsidRDefault="0001640C">
      <w:pPr>
        <w:rPr>
          <w:rFonts w:ascii="Times New Roman" w:eastAsia="Times New Roman" w:hAnsi="Times New Roman" w:cs="Times New Roman"/>
        </w:rPr>
      </w:pPr>
    </w:p>
    <w:p w14:paraId="7529DF42"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4.2. MARCO NACIONAL</w:t>
      </w:r>
    </w:p>
    <w:p w14:paraId="6266D1BF" w14:textId="77777777" w:rsidR="0001640C" w:rsidRDefault="0001640C">
      <w:pPr>
        <w:rPr>
          <w:rFonts w:ascii="Times New Roman" w:eastAsia="Times New Roman" w:hAnsi="Times New Roman" w:cs="Times New Roman"/>
        </w:rPr>
      </w:pPr>
    </w:p>
    <w:p w14:paraId="1D898673"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4.2.1. CONSTITUCIÓN POLÍTICA </w:t>
      </w:r>
    </w:p>
    <w:p w14:paraId="3FF79922" w14:textId="77777777" w:rsidR="0001640C" w:rsidRDefault="0001640C">
      <w:pPr>
        <w:rPr>
          <w:rFonts w:ascii="Times New Roman" w:eastAsia="Times New Roman" w:hAnsi="Times New Roman" w:cs="Times New Roman"/>
        </w:rPr>
      </w:pPr>
    </w:p>
    <w:p w14:paraId="18BA7F67"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Artículo 1. </w:t>
      </w:r>
      <w:r>
        <w:rPr>
          <w:rFonts w:ascii="Times New Roman" w:eastAsia="Times New Roman" w:hAnsi="Times New Roman" w:cs="Times New Roman"/>
          <w:i/>
        </w:rPr>
        <w:t>“Colombia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45B641EC" w14:textId="77777777" w:rsidR="0001640C" w:rsidRDefault="0001640C">
      <w:pPr>
        <w:ind w:left="720"/>
        <w:rPr>
          <w:rFonts w:ascii="Times New Roman" w:eastAsia="Times New Roman" w:hAnsi="Times New Roman" w:cs="Times New Roman"/>
        </w:rPr>
      </w:pPr>
    </w:p>
    <w:p w14:paraId="7C0BDAB7"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Artículo 2. </w:t>
      </w:r>
      <w:r>
        <w:rPr>
          <w:rFonts w:ascii="Times New Roman" w:eastAsia="Times New Roman" w:hAnsi="Times New Roman" w:cs="Times New Roman"/>
          <w:b/>
          <w:i/>
        </w:rPr>
        <w:t>“</w:t>
      </w:r>
      <w:r>
        <w:rPr>
          <w:rFonts w:ascii="Times New Roman" w:eastAsia="Times New Roman" w:hAnsi="Times New Roman" w:cs="Times New Roman"/>
          <w:i/>
        </w:rPr>
        <w:t xml:space="preserve">Son fines esenciales del Estado: servir a la comunidad, promover la prosperidad general y garantizar la efectividad de los principios, derechos y deberes consagrados en la Constitución; facilitar la participación de todos en las decisiones </w:t>
      </w:r>
      <w:r>
        <w:rPr>
          <w:rFonts w:ascii="Times New Roman" w:eastAsia="Times New Roman" w:hAnsi="Times New Roman" w:cs="Times New Roman"/>
          <w:i/>
        </w:rPr>
        <w:lastRenderedPageBreak/>
        <w:t>que los afectan y en la vida económica, política, administrativa y cultural de la Nación; defender la independencia nacional, mantener la integridad territorial y asegurar la convivencia pacífica y la vigencia de un orden justo.”</w:t>
      </w:r>
    </w:p>
    <w:p w14:paraId="6DD29278" w14:textId="77777777" w:rsidR="0001640C" w:rsidRDefault="0001640C">
      <w:pPr>
        <w:ind w:left="720"/>
        <w:rPr>
          <w:rFonts w:ascii="Times New Roman" w:eastAsia="Times New Roman" w:hAnsi="Times New Roman" w:cs="Times New Roman"/>
        </w:rPr>
      </w:pPr>
    </w:p>
    <w:p w14:paraId="4249E654"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13. </w:t>
      </w:r>
      <w:r>
        <w:rPr>
          <w:rFonts w:ascii="Times New Roman" w:eastAsia="Times New Roman" w:hAnsi="Times New Roman" w:cs="Times New Roman"/>
          <w:i/>
        </w:rPr>
        <w:t>“Todas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 El Estado promoverá las condiciones para que la igualdad sea real y efectiva y adoptará medidas en favor de grupos discriminados o marginados (...)”</w:t>
      </w:r>
    </w:p>
    <w:p w14:paraId="2815EB2D" w14:textId="77777777" w:rsidR="0001640C" w:rsidRDefault="0001640C">
      <w:pPr>
        <w:ind w:left="720"/>
        <w:rPr>
          <w:rFonts w:ascii="Times New Roman" w:eastAsia="Times New Roman" w:hAnsi="Times New Roman" w:cs="Times New Roman"/>
        </w:rPr>
      </w:pPr>
    </w:p>
    <w:p w14:paraId="6BEBDBD6" w14:textId="77777777" w:rsidR="0001640C" w:rsidRDefault="004B4533">
      <w:pPr>
        <w:ind w:left="720"/>
        <w:jc w:val="both"/>
        <w:rPr>
          <w:rFonts w:ascii="Times New Roman" w:eastAsia="Times New Roman" w:hAnsi="Times New Roman" w:cs="Times New Roman"/>
          <w:i/>
          <w:color w:val="FF0000"/>
        </w:rPr>
      </w:pPr>
      <w:r>
        <w:rPr>
          <w:rFonts w:ascii="Times New Roman" w:eastAsia="Times New Roman" w:hAnsi="Times New Roman" w:cs="Times New Roman"/>
          <w:b/>
        </w:rPr>
        <w:t xml:space="preserve">Artículo 43. </w:t>
      </w:r>
      <w:r>
        <w:rPr>
          <w:rFonts w:ascii="Times New Roman" w:eastAsia="Times New Roman" w:hAnsi="Times New Roman" w:cs="Times New Roman"/>
          <w:i/>
        </w:rPr>
        <w:t>“La mujer y el hombre tienen iguales derechos y oportunidades. La mujer no podrá ser sometida a ninguna clase de discriminación (...)”</w:t>
      </w:r>
    </w:p>
    <w:p w14:paraId="525D8D50" w14:textId="77777777" w:rsidR="0001640C" w:rsidRDefault="0001640C">
      <w:pPr>
        <w:ind w:left="720"/>
        <w:rPr>
          <w:rFonts w:ascii="Times New Roman" w:eastAsia="Times New Roman" w:hAnsi="Times New Roman" w:cs="Times New Roman"/>
        </w:rPr>
      </w:pPr>
    </w:p>
    <w:p w14:paraId="6A03178B"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70. </w:t>
      </w:r>
      <w:r>
        <w:rPr>
          <w:rFonts w:ascii="Times New Roman" w:eastAsia="Times New Roman" w:hAnsi="Times New Roman" w:cs="Times New Roman"/>
          <w:i/>
        </w:rPr>
        <w:t>“El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 La cultura en sus diversas manifestaciones es fundamento de la nacionalidad. El Estado reconoce la igualdad y dignidad de todas las que conviven en el país. El Estado promoverá la investigación, la ciencia, el desarrollo y la difusión de los valores culturales de la Nación.”</w:t>
      </w:r>
    </w:p>
    <w:p w14:paraId="13AB1567" w14:textId="77777777" w:rsidR="0001640C" w:rsidRDefault="0001640C">
      <w:pPr>
        <w:ind w:left="720"/>
        <w:rPr>
          <w:rFonts w:ascii="Times New Roman" w:eastAsia="Times New Roman" w:hAnsi="Times New Roman" w:cs="Times New Roman"/>
        </w:rPr>
      </w:pPr>
    </w:p>
    <w:p w14:paraId="2560C518"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71. </w:t>
      </w:r>
      <w:r>
        <w:rPr>
          <w:rFonts w:ascii="Times New Roman" w:eastAsia="Times New Roman" w:hAnsi="Times New Roman" w:cs="Times New Roman"/>
          <w:i/>
        </w:rPr>
        <w:t>“La búsqueda del conocimiento y la expresión artística son libres. Los planes de desarrollo económico y social incluirán el fomento a las ciencias y, en general, a la cultura. (...)”</w:t>
      </w:r>
    </w:p>
    <w:p w14:paraId="0C75F7CC" w14:textId="77777777" w:rsidR="0001640C" w:rsidRDefault="0001640C">
      <w:pPr>
        <w:ind w:left="720"/>
        <w:rPr>
          <w:rFonts w:ascii="Times New Roman" w:eastAsia="Times New Roman" w:hAnsi="Times New Roman" w:cs="Times New Roman"/>
        </w:rPr>
      </w:pPr>
    </w:p>
    <w:p w14:paraId="24B00AED"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313. </w:t>
      </w:r>
      <w:r>
        <w:rPr>
          <w:rFonts w:ascii="Times New Roman" w:eastAsia="Times New Roman" w:hAnsi="Times New Roman" w:cs="Times New Roman"/>
          <w:i/>
        </w:rPr>
        <w:t xml:space="preserve">“Corresponde a los concejos: </w:t>
      </w:r>
    </w:p>
    <w:p w14:paraId="109FFA52"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9. Dictar las normas necesarias para el control, la preservación y defensa del patrimonio ecológico y cultural del municipio.”</w:t>
      </w:r>
    </w:p>
    <w:p w14:paraId="6452D58F" w14:textId="77777777" w:rsidR="0001640C" w:rsidRDefault="0001640C">
      <w:pPr>
        <w:rPr>
          <w:rFonts w:ascii="Times New Roman" w:eastAsia="Times New Roman" w:hAnsi="Times New Roman" w:cs="Times New Roman"/>
        </w:rPr>
      </w:pPr>
    </w:p>
    <w:p w14:paraId="58D7AA83"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4.2.2. LEYES</w:t>
      </w:r>
    </w:p>
    <w:p w14:paraId="64B53C14" w14:textId="77777777" w:rsidR="0001640C" w:rsidRDefault="0001640C">
      <w:pPr>
        <w:rPr>
          <w:rFonts w:ascii="Times New Roman" w:eastAsia="Times New Roman" w:hAnsi="Times New Roman" w:cs="Times New Roman"/>
        </w:rPr>
      </w:pPr>
    </w:p>
    <w:p w14:paraId="17CEB8F7"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Ley 397 de 1997</w:t>
      </w:r>
    </w:p>
    <w:p w14:paraId="709A8C35"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“Por la cual se desarrollan los Artículos 70, 71 y 72 y demás Artículos concordantes de la Constitución Política y se dictan normas sobre patrimonio cultural, fomentos y estímulos a la cultura, se crea el Ministerio de la Cultura y se trasladan algunas dependencias.” </w:t>
      </w:r>
    </w:p>
    <w:p w14:paraId="7401BB19" w14:textId="77777777" w:rsidR="0001640C" w:rsidRDefault="0001640C">
      <w:pPr>
        <w:jc w:val="both"/>
        <w:rPr>
          <w:rFonts w:ascii="Times New Roman" w:eastAsia="Times New Roman" w:hAnsi="Times New Roman" w:cs="Times New Roman"/>
          <w:b/>
        </w:rPr>
      </w:pPr>
    </w:p>
    <w:p w14:paraId="017392DD"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lastRenderedPageBreak/>
        <w:t xml:space="preserve">Artículo 1. De los principios fundamentales y definiciones de esta ley. </w:t>
      </w:r>
      <w:r>
        <w:rPr>
          <w:rFonts w:ascii="Times New Roman" w:eastAsia="Times New Roman" w:hAnsi="Times New Roman" w:cs="Times New Roman"/>
          <w:i/>
        </w:rPr>
        <w:t>“La presente ley está basada en los siguientes principios fundamental y definiciones:</w:t>
      </w:r>
    </w:p>
    <w:p w14:paraId="49D5E799" w14:textId="77777777" w:rsidR="0001640C" w:rsidRDefault="0001640C">
      <w:pPr>
        <w:ind w:left="720"/>
        <w:jc w:val="both"/>
        <w:rPr>
          <w:rFonts w:ascii="Times New Roman" w:eastAsia="Times New Roman" w:hAnsi="Times New Roman" w:cs="Times New Roman"/>
          <w:i/>
        </w:rPr>
      </w:pPr>
    </w:p>
    <w:p w14:paraId="2E22C515"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1. Cultura es el conjunto de rasgos distintivos, espirituales, materiales, intelectuales y emocionales que caracterizan a los grupos humanos y que comprende, más allá de las artes y las letras, modos de vida, derechos humanos, sistemas de valores, tradiciones y creencias.</w:t>
      </w:r>
    </w:p>
    <w:p w14:paraId="06EF762C"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2. La cultura, en sus diversas manifestaciones, es fundamento de la nacionalidad y actividad propia de la sociedad colombiana en su conjunto, como proceso generado individual y colectivamente por los colombianos. Dichas manifestaciones constituyen parte integral de la identidad y la cultura colombianas.</w:t>
      </w:r>
    </w:p>
    <w:p w14:paraId="2B952AA9"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w:t>
      </w:r>
    </w:p>
    <w:p w14:paraId="14926379"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5. Es obligación del estado y de las personas valorar, proteger y difundir el Patrimonio Cultural de la Nación.</w:t>
      </w:r>
    </w:p>
    <w:p w14:paraId="4EFED6C6"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w:t>
      </w:r>
    </w:p>
    <w:p w14:paraId="21823E27" w14:textId="77777777" w:rsidR="0001640C" w:rsidRDefault="0001640C">
      <w:pPr>
        <w:ind w:left="720"/>
        <w:jc w:val="both"/>
        <w:rPr>
          <w:rFonts w:ascii="Times New Roman" w:eastAsia="Times New Roman" w:hAnsi="Times New Roman" w:cs="Times New Roman"/>
          <w:i/>
        </w:rPr>
      </w:pPr>
    </w:p>
    <w:p w14:paraId="1C9717F1"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Artículo 2. Del papel del Estado en relación con la cultura. “</w:t>
      </w:r>
      <w:r>
        <w:rPr>
          <w:rFonts w:ascii="Times New Roman" w:eastAsia="Times New Roman" w:hAnsi="Times New Roman" w:cs="Times New Roman"/>
          <w:i/>
        </w:rPr>
        <w:t>Las funciones los servicios del Estado en relación con la cultura se cumplirán en conformidad con lo dispuesto en el Artículo anterior, teniendo en cuenta que el objetivo primordial de la política estatal sobre la materia son la preservación del Patrimonio Cultural de la Nación y el apoyo y el estímulo a las personas, comunidades e instituciones que desarrollen o promuevan las expresiones artísticas y culturales en los ámbitos locales, regionales y nacional.”</w:t>
      </w:r>
    </w:p>
    <w:p w14:paraId="6B7E2DBF" w14:textId="77777777" w:rsidR="0001640C" w:rsidRDefault="0001640C">
      <w:pPr>
        <w:ind w:left="720"/>
        <w:rPr>
          <w:rFonts w:ascii="Times New Roman" w:eastAsia="Times New Roman" w:hAnsi="Times New Roman" w:cs="Times New Roman"/>
        </w:rPr>
      </w:pPr>
    </w:p>
    <w:p w14:paraId="62ADF73D"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b/>
        </w:rPr>
        <w:t xml:space="preserve">Artículo 4. Definición de patrimonio cultural de la Nación. </w:t>
      </w:r>
      <w:r>
        <w:rPr>
          <w:rFonts w:ascii="Times New Roman" w:eastAsia="Times New Roman" w:hAnsi="Times New Roman" w:cs="Times New Roman"/>
          <w:i/>
        </w:rPr>
        <w:t xml:space="preserve">El patrimonio cultural de la Nación está constituido por todos los bienes y valores culturales que son expresión de la nacionalidad colombiana, tales como la tradición, las costumbres y los hábitos, así como el </w:t>
      </w:r>
      <w:r>
        <w:rPr>
          <w:rFonts w:ascii="Times New Roman" w:eastAsia="Times New Roman" w:hAnsi="Times New Roman" w:cs="Times New Roman"/>
          <w:b/>
          <w:i/>
        </w:rPr>
        <w:t>conjunto de bienes inmateriales y materiales, muebles e inmuebles, que poseen un especial interés histórico</w:t>
      </w:r>
      <w:r>
        <w:rPr>
          <w:rFonts w:ascii="Times New Roman" w:eastAsia="Times New Roman" w:hAnsi="Times New Roman" w:cs="Times New Roman"/>
          <w:i/>
        </w:rPr>
        <w:t xml:space="preserve">, artístico, estético, plástico, arquitectónico, urbano, arqueológico, ambiental, ecológico, lingüístico, sonoro, musical, audiovisual, fílmico, científico, testimonial, documental, literario, bibliográfico museológico, antropológico y las manifestaciones, los productos y las representaciones de la cultura popular. </w:t>
      </w:r>
      <w:r>
        <w:rPr>
          <w:rFonts w:ascii="Times New Roman" w:eastAsia="Times New Roman" w:hAnsi="Times New Roman" w:cs="Times New Roman"/>
        </w:rPr>
        <w:t>(subrayado fuera de texto).</w:t>
      </w:r>
    </w:p>
    <w:p w14:paraId="46F2CCEE" w14:textId="77777777" w:rsidR="0001640C" w:rsidRDefault="004B4533">
      <w:pPr>
        <w:shd w:val="clear" w:color="auto" w:fill="FFFFFF"/>
        <w:spacing w:before="240" w:line="276" w:lineRule="auto"/>
        <w:ind w:left="720"/>
        <w:jc w:val="both"/>
        <w:rPr>
          <w:rFonts w:ascii="Times New Roman" w:eastAsia="Times New Roman" w:hAnsi="Times New Roman" w:cs="Times New Roman"/>
          <w:i/>
        </w:rPr>
      </w:pPr>
      <w:r>
        <w:rPr>
          <w:rFonts w:ascii="Times New Roman" w:eastAsia="Times New Roman" w:hAnsi="Times New Roman" w:cs="Times New Roman"/>
          <w:i/>
        </w:rPr>
        <w:t xml:space="preserve">Las disposiciones de la presente ley y de su futura reglamentación serán aplicadas a los bienes y categorías de bienes </w:t>
      </w:r>
      <w:proofErr w:type="gramStart"/>
      <w:r>
        <w:rPr>
          <w:rFonts w:ascii="Times New Roman" w:eastAsia="Times New Roman" w:hAnsi="Times New Roman" w:cs="Times New Roman"/>
          <w:i/>
        </w:rPr>
        <w:t>que</w:t>
      </w:r>
      <w:proofErr w:type="gramEnd"/>
      <w:r>
        <w:rPr>
          <w:rFonts w:ascii="Times New Roman" w:eastAsia="Times New Roman" w:hAnsi="Times New Roman" w:cs="Times New Roman"/>
          <w:i/>
        </w:rPr>
        <w:t xml:space="preserve"> siendo parte del Patrimonio Cultural de la Nación pertenecientes a las épocas prehispánicas, de la Colonia, la Independencia, la República y la Contemporánea, sean declarados como bienes de interés cultural, </w:t>
      </w:r>
      <w:r>
        <w:rPr>
          <w:rFonts w:ascii="Times New Roman" w:eastAsia="Times New Roman" w:hAnsi="Times New Roman" w:cs="Times New Roman"/>
          <w:i/>
        </w:rPr>
        <w:lastRenderedPageBreak/>
        <w:t>conforme a los criterios de valoración que para tal efecto determine el Ministerio de Cultura.</w:t>
      </w:r>
    </w:p>
    <w:p w14:paraId="6BACA445" w14:textId="77777777" w:rsidR="0001640C" w:rsidRDefault="004B4533">
      <w:pPr>
        <w:shd w:val="clear" w:color="auto" w:fill="FFFFFF"/>
        <w:spacing w:before="240" w:line="276" w:lineRule="auto"/>
        <w:ind w:left="720"/>
        <w:jc w:val="both"/>
        <w:rPr>
          <w:rFonts w:ascii="Times New Roman" w:eastAsia="Times New Roman" w:hAnsi="Times New Roman" w:cs="Times New Roman"/>
          <w:i/>
        </w:rPr>
      </w:pPr>
      <w:r>
        <w:rPr>
          <w:rFonts w:ascii="Times New Roman" w:eastAsia="Times New Roman" w:hAnsi="Times New Roman" w:cs="Times New Roman"/>
          <w:i/>
        </w:rPr>
        <w:t>PARÁGRAFO 1.- Los bienes declarados monumentos nacionales con anterioridad a la presente ley, así como 105 bienes integrantes del patrimonio arqueológico, serán considerados como bienes de interés cultural.</w:t>
      </w:r>
    </w:p>
    <w:p w14:paraId="5926D4CA" w14:textId="77777777" w:rsidR="0001640C" w:rsidRDefault="004B4533">
      <w:pPr>
        <w:shd w:val="clear" w:color="auto" w:fill="FFFFFF"/>
        <w:spacing w:before="240" w:line="276" w:lineRule="auto"/>
        <w:ind w:left="720"/>
        <w:jc w:val="both"/>
        <w:rPr>
          <w:rFonts w:ascii="Times New Roman" w:eastAsia="Times New Roman" w:hAnsi="Times New Roman" w:cs="Times New Roman"/>
          <w:i/>
        </w:rPr>
      </w:pPr>
      <w:r>
        <w:rPr>
          <w:rFonts w:ascii="Times New Roman" w:eastAsia="Times New Roman" w:hAnsi="Times New Roman" w:cs="Times New Roman"/>
          <w:i/>
        </w:rPr>
        <w:t>También podrán ser declarados bienes de interés cultural, previo concepto del Ministerio de Cultura, aquellos bienes que hayan sido objeto de reconocimiento especial expreso por las entidades territoriales.</w:t>
      </w:r>
    </w:p>
    <w:p w14:paraId="41BE2E9C" w14:textId="77777777" w:rsidR="0001640C" w:rsidRDefault="0001640C">
      <w:pPr>
        <w:ind w:left="720"/>
        <w:rPr>
          <w:rFonts w:ascii="Times New Roman" w:eastAsia="Times New Roman" w:hAnsi="Times New Roman" w:cs="Times New Roman"/>
          <w:i/>
        </w:rPr>
      </w:pPr>
    </w:p>
    <w:p w14:paraId="380EFFB9"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8. Declaratoria y manejo del patrimonio cultural de la Nación. </w:t>
      </w:r>
      <w:r>
        <w:rPr>
          <w:rFonts w:ascii="Times New Roman" w:eastAsia="Times New Roman" w:hAnsi="Times New Roman" w:cs="Times New Roman"/>
          <w:i/>
        </w:rPr>
        <w:t>El Gobierno Nacional, a través del Ministerio de Cultura y previo concepto del Consejo de Monumentos Nacionales, es el responsable de la declaratoria y del manejo de los monumentos nacionales y de los bienes de interés cultural de carácter nacional.</w:t>
      </w:r>
    </w:p>
    <w:p w14:paraId="32752902" w14:textId="77777777" w:rsidR="0001640C" w:rsidRDefault="0001640C">
      <w:pPr>
        <w:ind w:left="720"/>
        <w:jc w:val="both"/>
        <w:rPr>
          <w:rFonts w:ascii="Times New Roman" w:eastAsia="Times New Roman" w:hAnsi="Times New Roman" w:cs="Times New Roman"/>
          <w:i/>
        </w:rPr>
      </w:pPr>
    </w:p>
    <w:p w14:paraId="53B31288"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A las entidades territoriales, con base en los principios de descentralización, autonomía y participación, les corresponde la declaratoria y el manejo del patrimonio cultural y de los bienes de interés cultural del ámbito municipal, distrital, departamental, a través de las alcaldías municipales y las gobernaciones respectivas, y de los territorios indígenas, previo concepto de los centros filiales del Consejo de Monumentos Nacionales allí donde existan, o en su defecto por la entidad delegada por el Ministerio de Cultura.</w:t>
      </w:r>
    </w:p>
    <w:p w14:paraId="17DADF53" w14:textId="77777777" w:rsidR="0001640C" w:rsidRDefault="0001640C">
      <w:pPr>
        <w:ind w:left="720"/>
        <w:jc w:val="both"/>
        <w:rPr>
          <w:rFonts w:ascii="Times New Roman" w:eastAsia="Times New Roman" w:hAnsi="Times New Roman" w:cs="Times New Roman"/>
          <w:i/>
        </w:rPr>
      </w:pPr>
    </w:p>
    <w:p w14:paraId="42B6268E"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Lo anterior se entiende sin perjuicio de que los bienes antes mencionados puedan ser declarados bienes de interés cultural de carácter nacional.</w:t>
      </w:r>
    </w:p>
    <w:p w14:paraId="60F1E04A" w14:textId="77777777" w:rsidR="0001640C" w:rsidRDefault="0001640C">
      <w:pPr>
        <w:ind w:left="720"/>
        <w:jc w:val="both"/>
        <w:rPr>
          <w:rFonts w:ascii="Times New Roman" w:eastAsia="Times New Roman" w:hAnsi="Times New Roman" w:cs="Times New Roman"/>
          <w:i/>
        </w:rPr>
      </w:pPr>
    </w:p>
    <w:p w14:paraId="3A365465"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Para la declaratoria y el manejo de los bienes de interés cultural se aplicará el principio de coordinación entre los niveles nacional, departamental, distrital y municipal y de los territorios indígenas.</w:t>
      </w:r>
    </w:p>
    <w:p w14:paraId="5150748B"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w:t>
      </w:r>
    </w:p>
    <w:p w14:paraId="1693C7C6" w14:textId="77777777" w:rsidR="0001640C" w:rsidRDefault="0001640C">
      <w:pPr>
        <w:ind w:left="720"/>
        <w:rPr>
          <w:rFonts w:ascii="Times New Roman" w:eastAsia="Times New Roman" w:hAnsi="Times New Roman" w:cs="Times New Roman"/>
          <w:b/>
        </w:rPr>
      </w:pPr>
    </w:p>
    <w:p w14:paraId="3E63B126" w14:textId="77777777" w:rsidR="0001640C" w:rsidRDefault="004B4533">
      <w:pPr>
        <w:ind w:left="720"/>
        <w:rPr>
          <w:rFonts w:ascii="Times New Roman" w:eastAsia="Times New Roman" w:hAnsi="Times New Roman" w:cs="Times New Roman"/>
          <w:i/>
        </w:rPr>
      </w:pPr>
      <w:r>
        <w:rPr>
          <w:rFonts w:ascii="Times New Roman" w:eastAsia="Times New Roman" w:hAnsi="Times New Roman" w:cs="Times New Roman"/>
          <w:b/>
        </w:rPr>
        <w:t xml:space="preserve">Artículo 10. Inembargabilidad, imprescriptibilidad e inalienabilidad. </w:t>
      </w:r>
      <w:r>
        <w:rPr>
          <w:rFonts w:ascii="Times New Roman" w:eastAsia="Times New Roman" w:hAnsi="Times New Roman" w:cs="Times New Roman"/>
          <w:i/>
        </w:rPr>
        <w:t xml:space="preserve">Los bienes de interés cultural que conforman el patrimonio cultural de la Nación que sean propiedad de entidades públicas, son inembargables, imprescriptibles e inalienables. </w:t>
      </w:r>
    </w:p>
    <w:p w14:paraId="118FDDD1" w14:textId="77777777" w:rsidR="0001640C" w:rsidRDefault="004B4533">
      <w:pPr>
        <w:ind w:left="720"/>
        <w:rPr>
          <w:rFonts w:ascii="Times New Roman" w:eastAsia="Times New Roman" w:hAnsi="Times New Roman" w:cs="Times New Roman"/>
          <w:i/>
        </w:rPr>
      </w:pPr>
      <w:r>
        <w:rPr>
          <w:rFonts w:ascii="Times New Roman" w:eastAsia="Times New Roman" w:hAnsi="Times New Roman" w:cs="Times New Roman"/>
          <w:i/>
        </w:rPr>
        <w:t>(...)</w:t>
      </w:r>
    </w:p>
    <w:p w14:paraId="573D5AB0" w14:textId="77777777" w:rsidR="0001640C" w:rsidRDefault="0001640C">
      <w:pPr>
        <w:ind w:left="720"/>
        <w:rPr>
          <w:rFonts w:ascii="Times New Roman" w:eastAsia="Times New Roman" w:hAnsi="Times New Roman" w:cs="Times New Roman"/>
        </w:rPr>
      </w:pPr>
    </w:p>
    <w:p w14:paraId="67CD01E1"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lastRenderedPageBreak/>
        <w:t xml:space="preserve">Artículo 14. Registro nacional de patrimonio cultural. </w:t>
      </w:r>
      <w:r>
        <w:rPr>
          <w:rFonts w:ascii="Times New Roman" w:eastAsia="Times New Roman" w:hAnsi="Times New Roman" w:cs="Times New Roman"/>
          <w:i/>
        </w:rPr>
        <w:t>La Nación y las entidades territoriales estarán en la obligación de realizar el registro del patrimonio cultural. Las entidades territoriales remitirán periódicamente al Ministerio de Cultura, sus respectivos registros, con el fin de que sean contemplados en el Registro Nacional del Patrimonio Cultural.</w:t>
      </w:r>
    </w:p>
    <w:p w14:paraId="3ECDFCD0" w14:textId="77777777" w:rsidR="0001640C" w:rsidRDefault="0001640C">
      <w:pPr>
        <w:ind w:left="720"/>
        <w:jc w:val="both"/>
        <w:rPr>
          <w:rFonts w:ascii="Times New Roman" w:eastAsia="Times New Roman" w:hAnsi="Times New Roman" w:cs="Times New Roman"/>
          <w:i/>
        </w:rPr>
      </w:pPr>
    </w:p>
    <w:p w14:paraId="7F689CDD"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xml:space="preserve">El Ministerio de Cultura reglamentará lo relativo al registro y definirá las categorías de protección aplicables a los diversos tipos de bienes registrados, en coordinación con las entidades territoriales. </w:t>
      </w:r>
    </w:p>
    <w:p w14:paraId="6B56BA4D" w14:textId="77777777" w:rsidR="0001640C" w:rsidRDefault="0001640C">
      <w:pPr>
        <w:rPr>
          <w:rFonts w:ascii="Times New Roman" w:eastAsia="Times New Roman" w:hAnsi="Times New Roman" w:cs="Times New Roman"/>
        </w:rPr>
      </w:pPr>
    </w:p>
    <w:p w14:paraId="79360B17"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4.2.3. DECRETOS NACIONALES</w:t>
      </w:r>
    </w:p>
    <w:p w14:paraId="29545995" w14:textId="77777777" w:rsidR="0001640C" w:rsidRDefault="0001640C">
      <w:pPr>
        <w:jc w:val="both"/>
        <w:rPr>
          <w:rFonts w:ascii="Times New Roman" w:eastAsia="Times New Roman" w:hAnsi="Times New Roman" w:cs="Times New Roman"/>
          <w:i/>
        </w:rPr>
      </w:pPr>
    </w:p>
    <w:p w14:paraId="23FD7615"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Decreto Ley 1421 de 1993 </w:t>
      </w:r>
    </w:p>
    <w:p w14:paraId="4DA7CC02"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el cual se dicta el régimen especial para el Distrito Capital de Santafé de Bogotá”</w:t>
      </w:r>
    </w:p>
    <w:p w14:paraId="394A5466" w14:textId="77777777" w:rsidR="0001640C" w:rsidRDefault="0001640C">
      <w:pPr>
        <w:jc w:val="both"/>
        <w:rPr>
          <w:rFonts w:ascii="Times New Roman" w:eastAsia="Times New Roman" w:hAnsi="Times New Roman" w:cs="Times New Roman"/>
          <w:b/>
        </w:rPr>
      </w:pPr>
    </w:p>
    <w:p w14:paraId="7394A791" w14:textId="77777777" w:rsidR="0001640C" w:rsidRDefault="004B4533">
      <w:pPr>
        <w:ind w:left="720"/>
        <w:jc w:val="both"/>
        <w:rPr>
          <w:rFonts w:ascii="Times New Roman" w:eastAsia="Times New Roman" w:hAnsi="Times New Roman" w:cs="Times New Roman"/>
          <w:b/>
          <w:i/>
        </w:rPr>
      </w:pPr>
      <w:r>
        <w:rPr>
          <w:rFonts w:ascii="Times New Roman" w:eastAsia="Times New Roman" w:hAnsi="Times New Roman" w:cs="Times New Roman"/>
          <w:b/>
        </w:rPr>
        <w:t xml:space="preserve">Artículo 12. </w:t>
      </w:r>
      <w:r>
        <w:rPr>
          <w:rFonts w:ascii="Times New Roman" w:eastAsia="Times New Roman" w:hAnsi="Times New Roman" w:cs="Times New Roman"/>
          <w:b/>
          <w:i/>
        </w:rPr>
        <w:t xml:space="preserve">“Atribuciones. </w:t>
      </w:r>
      <w:r>
        <w:rPr>
          <w:rFonts w:ascii="Times New Roman" w:eastAsia="Times New Roman" w:hAnsi="Times New Roman" w:cs="Times New Roman"/>
          <w:i/>
        </w:rPr>
        <w:t>Corresponde al Concejo Distrital, de conformidad con la Constitución y a la ley</w:t>
      </w:r>
      <w:r>
        <w:rPr>
          <w:rFonts w:ascii="Times New Roman" w:eastAsia="Times New Roman" w:hAnsi="Times New Roman" w:cs="Times New Roman"/>
          <w:b/>
          <w:i/>
        </w:rPr>
        <w:t>:</w:t>
      </w:r>
    </w:p>
    <w:p w14:paraId="28ED4FB3"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13. Regular la preservación y defensa del patrimonio cultural.”</w:t>
      </w:r>
    </w:p>
    <w:p w14:paraId="331760C4" w14:textId="77777777" w:rsidR="0001640C" w:rsidRDefault="0001640C">
      <w:pPr>
        <w:ind w:left="720"/>
        <w:jc w:val="both"/>
        <w:rPr>
          <w:rFonts w:ascii="Times New Roman" w:eastAsia="Times New Roman" w:hAnsi="Times New Roman" w:cs="Times New Roman"/>
          <w:b/>
          <w:i/>
        </w:rPr>
      </w:pPr>
    </w:p>
    <w:p w14:paraId="22E817C5"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Decreto 763 de 2009 </w:t>
      </w:r>
    </w:p>
    <w:p w14:paraId="3CE4AEDE"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el cual se reglamentan parcialmente las Leyes 814 de 2003 y 397 de 1997, modificada por medio de la Ley 1185 de 2008, en lo correspondiente al Patrimonio Cultural de la Nación de naturaleza material.”</w:t>
      </w:r>
    </w:p>
    <w:p w14:paraId="2C154D5F" w14:textId="77777777" w:rsidR="0001640C" w:rsidRDefault="0001640C">
      <w:pPr>
        <w:jc w:val="both"/>
        <w:rPr>
          <w:rFonts w:ascii="Times New Roman" w:eastAsia="Times New Roman" w:hAnsi="Times New Roman" w:cs="Times New Roman"/>
          <w:i/>
        </w:rPr>
      </w:pPr>
    </w:p>
    <w:p w14:paraId="4845FD5E"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7. Procedimiento para declarar BIC. </w:t>
      </w:r>
      <w:r>
        <w:rPr>
          <w:rFonts w:ascii="Times New Roman" w:eastAsia="Times New Roman" w:hAnsi="Times New Roman" w:cs="Times New Roman"/>
          <w:i/>
        </w:rPr>
        <w:t>El procedimiento que deberá seguir la autoridad competente en todos los casos para declarar BIC, es el establecido en el artículo 89 de la Ley 397 de 1997, modificado por el artículo 5° de la Ley 1185 de 2008.</w:t>
      </w:r>
    </w:p>
    <w:p w14:paraId="4015E068" w14:textId="77777777" w:rsidR="0001640C" w:rsidRDefault="0001640C">
      <w:pPr>
        <w:ind w:left="720"/>
        <w:jc w:val="both"/>
        <w:rPr>
          <w:rFonts w:ascii="Times New Roman" w:eastAsia="Times New Roman" w:hAnsi="Times New Roman" w:cs="Times New Roman"/>
          <w:i/>
        </w:rPr>
      </w:pPr>
    </w:p>
    <w:p w14:paraId="224EC6C8"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Las declaratorias de BIC que se lleven a cabo sin seguir el procedimiento definido en la referida ley y reglamentado en este decreto, estarán viciadas de nulidad conforme a lo previsto en el Código Contencioso Administrativo. La solicitud de nulidad podrá formularla cualquier instancia o persona.</w:t>
      </w:r>
    </w:p>
    <w:p w14:paraId="432CA7B2" w14:textId="77777777" w:rsidR="0001640C" w:rsidRDefault="0001640C">
      <w:pPr>
        <w:ind w:left="720"/>
        <w:jc w:val="both"/>
        <w:rPr>
          <w:rFonts w:ascii="Times New Roman" w:eastAsia="Times New Roman" w:hAnsi="Times New Roman" w:cs="Times New Roman"/>
          <w:i/>
        </w:rPr>
      </w:pPr>
    </w:p>
    <w:p w14:paraId="232A249E"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Artículo 9.</w:t>
      </w:r>
      <w:r>
        <w:rPr>
          <w:rFonts w:ascii="Times New Roman" w:eastAsia="Times New Roman" w:hAnsi="Times New Roman" w:cs="Times New Roman"/>
        </w:rPr>
        <w:t xml:space="preserve"> </w:t>
      </w:r>
      <w:r>
        <w:rPr>
          <w:rFonts w:ascii="Times New Roman" w:eastAsia="Times New Roman" w:hAnsi="Times New Roman" w:cs="Times New Roman"/>
          <w:b/>
        </w:rPr>
        <w:t xml:space="preserve">Iniciativa para la declaratoria. </w:t>
      </w:r>
      <w:r>
        <w:rPr>
          <w:rFonts w:ascii="Times New Roman" w:eastAsia="Times New Roman" w:hAnsi="Times New Roman" w:cs="Times New Roman"/>
          <w:i/>
        </w:rPr>
        <w:t>La iniciativa para la declaratoria de un BIC puede surgir de la autoridad competente para el efecto, del propietario del bien y/o de un tercero con independencia de su naturaleza pública o privada, natural o jurídica.</w:t>
      </w:r>
    </w:p>
    <w:p w14:paraId="22CB89C8" w14:textId="77777777" w:rsidR="0001640C" w:rsidRDefault="0001640C">
      <w:pPr>
        <w:ind w:left="720"/>
        <w:jc w:val="both"/>
        <w:rPr>
          <w:rFonts w:ascii="Times New Roman" w:eastAsia="Times New Roman" w:hAnsi="Times New Roman" w:cs="Times New Roman"/>
          <w:i/>
        </w:rPr>
      </w:pPr>
    </w:p>
    <w:p w14:paraId="757182F6"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lastRenderedPageBreak/>
        <w:t>Cuando la iniciativa provenga del propietario o de un tercero, la solicitud debe formularse ante la autoridad competente de efectuar la declaratoria.</w:t>
      </w:r>
    </w:p>
    <w:p w14:paraId="1EBA183F" w14:textId="77777777" w:rsidR="0001640C" w:rsidRDefault="0001640C">
      <w:pPr>
        <w:ind w:left="720"/>
        <w:jc w:val="both"/>
        <w:rPr>
          <w:rFonts w:ascii="Times New Roman" w:eastAsia="Times New Roman" w:hAnsi="Times New Roman" w:cs="Times New Roman"/>
          <w:i/>
        </w:rPr>
      </w:pPr>
    </w:p>
    <w:p w14:paraId="6440EC8C"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Si el bien requiere la formulación de PEMP a juicio de la autoridad competente según lo señalado en el artículo anterior, el propietario o interesado deberán formularlo. Durante este período la autoridad competente no perderá la facultad de formular oficiosamente el PEMP de lo cual informará oportunamente al autor de la iniciativa.</w:t>
      </w:r>
    </w:p>
    <w:p w14:paraId="29BF9186" w14:textId="77777777" w:rsidR="0001640C" w:rsidRDefault="0001640C">
      <w:pPr>
        <w:ind w:left="720"/>
        <w:jc w:val="both"/>
        <w:rPr>
          <w:rFonts w:ascii="Times New Roman" w:eastAsia="Times New Roman" w:hAnsi="Times New Roman" w:cs="Times New Roman"/>
          <w:i/>
        </w:rPr>
      </w:pPr>
    </w:p>
    <w:p w14:paraId="353E9347" w14:textId="77777777" w:rsidR="0001640C" w:rsidRDefault="004B4533">
      <w:pPr>
        <w:ind w:left="720"/>
        <w:jc w:val="both"/>
        <w:rPr>
          <w:rFonts w:ascii="Times New Roman" w:eastAsia="Times New Roman" w:hAnsi="Times New Roman" w:cs="Times New Roman"/>
          <w:b/>
          <w:i/>
        </w:rPr>
      </w:pPr>
      <w:r>
        <w:rPr>
          <w:rFonts w:ascii="Times New Roman" w:eastAsia="Times New Roman" w:hAnsi="Times New Roman" w:cs="Times New Roman"/>
          <w:i/>
        </w:rPr>
        <w:t>El Ministerio de Cultura establecerá, de conformidad con las facultades que le otorga la Ley 1185 de 2008, los requisitos técnicos y administrativos que deberá cumplir quien solicite una declaratoria de BIC.</w:t>
      </w:r>
    </w:p>
    <w:p w14:paraId="3CA4DD37" w14:textId="77777777" w:rsidR="0001640C" w:rsidRDefault="0001640C">
      <w:pPr>
        <w:jc w:val="both"/>
        <w:rPr>
          <w:rFonts w:ascii="Times New Roman" w:eastAsia="Times New Roman" w:hAnsi="Times New Roman" w:cs="Times New Roman"/>
          <w:b/>
          <w:i/>
        </w:rPr>
      </w:pPr>
    </w:p>
    <w:p w14:paraId="2D4960A3" w14:textId="77777777" w:rsidR="0059787A" w:rsidRDefault="004B4533">
      <w:pPr>
        <w:jc w:val="both"/>
        <w:rPr>
          <w:rFonts w:ascii="Times New Roman" w:eastAsia="Times New Roman" w:hAnsi="Times New Roman" w:cs="Times New Roman"/>
          <w:b/>
        </w:rPr>
      </w:pPr>
      <w:r>
        <w:rPr>
          <w:rFonts w:ascii="Times New Roman" w:eastAsia="Times New Roman" w:hAnsi="Times New Roman" w:cs="Times New Roman"/>
          <w:b/>
        </w:rPr>
        <w:t>Decreto 2358 de 2019</w:t>
      </w:r>
    </w:p>
    <w:p w14:paraId="1BC75954" w14:textId="730D1A50" w:rsidR="0001640C" w:rsidRDefault="004B4533">
      <w:pPr>
        <w:jc w:val="both"/>
        <w:rPr>
          <w:rFonts w:ascii="Times New Roman" w:eastAsia="Times New Roman" w:hAnsi="Times New Roman" w:cs="Times New Roman"/>
          <w:b/>
        </w:rPr>
      </w:pPr>
      <w:r>
        <w:rPr>
          <w:rFonts w:ascii="Times New Roman" w:eastAsia="Times New Roman" w:hAnsi="Times New Roman" w:cs="Times New Roman"/>
          <w:b/>
          <w:i/>
        </w:rPr>
        <w:t>“</w:t>
      </w:r>
      <w:r>
        <w:rPr>
          <w:rFonts w:ascii="Times New Roman" w:eastAsia="Times New Roman" w:hAnsi="Times New Roman" w:cs="Times New Roman"/>
          <w:b/>
        </w:rPr>
        <w:t>Por el cual se modifica y adiciona el Decreto 1080 de 2015, Decreto Único Reglamentario del Sector Cultura, en lo relacionado con el Patrimonio Cultural Material e Inmaterial”</w:t>
      </w:r>
    </w:p>
    <w:p w14:paraId="49BAB6E5" w14:textId="77777777" w:rsidR="0001640C" w:rsidRDefault="0001640C">
      <w:pPr>
        <w:jc w:val="both"/>
        <w:rPr>
          <w:rFonts w:ascii="Times New Roman" w:eastAsia="Times New Roman" w:hAnsi="Times New Roman" w:cs="Times New Roman"/>
          <w:b/>
        </w:rPr>
      </w:pPr>
    </w:p>
    <w:p w14:paraId="1B073EB1"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Artículo 1.</w:t>
      </w:r>
      <w:r>
        <w:rPr>
          <w:rFonts w:ascii="Times New Roman" w:eastAsia="Times New Roman" w:hAnsi="Times New Roman" w:cs="Times New Roman"/>
        </w:rPr>
        <w:t xml:space="preserve"> </w:t>
      </w:r>
      <w:r>
        <w:rPr>
          <w:rFonts w:ascii="Times New Roman" w:eastAsia="Times New Roman" w:hAnsi="Times New Roman" w:cs="Times New Roman"/>
          <w:i/>
        </w:rPr>
        <w:t>“Modificación del artículo 2.3.1.1 del Título 1 de la Parte 3 del Libro 2 del Decreto 1080 de 2015, Único Reglamentario del Sector Cultura, el cual quedará así:</w:t>
      </w:r>
    </w:p>
    <w:p w14:paraId="7FFCDB6C" w14:textId="77777777" w:rsidR="0001640C" w:rsidRDefault="0001640C">
      <w:pPr>
        <w:jc w:val="both"/>
        <w:rPr>
          <w:rFonts w:ascii="Times New Roman" w:eastAsia="Times New Roman" w:hAnsi="Times New Roman" w:cs="Times New Roman"/>
        </w:rPr>
      </w:pPr>
    </w:p>
    <w:p w14:paraId="227AB73F" w14:textId="08AC60A2"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2.3.1.1. Sistema Nacional de Patrimonio Cultural de la Nación. </w:t>
      </w:r>
      <w:r>
        <w:rPr>
          <w:rFonts w:ascii="Times New Roman" w:eastAsia="Times New Roman" w:hAnsi="Times New Roman" w:cs="Times New Roman"/>
          <w:i/>
        </w:rPr>
        <w:t>“(...) El SNPCN tiene por objeto contribuir a la valoración, la preservación, la salvaguardia, la protección, la recuperación, la conservación, la sostenibilidad, la divulgación y la apropiación social del patrimonio cultural de acuerdo con lo establecido en la Constitución Política y en la legislación en particular, en la Ley 397 de 1997, modificada y adicionada por la Ley 1185 de 2008, y bajo los principios de descentralización, diversidad, participación, coordinación y autonomía (...)</w:t>
      </w:r>
    </w:p>
    <w:p w14:paraId="58D4ACD9" w14:textId="77777777" w:rsidR="0001640C" w:rsidRDefault="0001640C">
      <w:pPr>
        <w:ind w:left="720"/>
        <w:jc w:val="both"/>
        <w:rPr>
          <w:rFonts w:ascii="Times New Roman" w:eastAsia="Times New Roman" w:hAnsi="Times New Roman" w:cs="Times New Roman"/>
          <w:i/>
        </w:rPr>
      </w:pPr>
    </w:p>
    <w:p w14:paraId="71F7ED2D" w14:textId="499EF825"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Artículo 2.</w:t>
      </w:r>
      <w:r>
        <w:rPr>
          <w:rFonts w:ascii="Times New Roman" w:eastAsia="Times New Roman" w:hAnsi="Times New Roman" w:cs="Times New Roman"/>
          <w:i/>
        </w:rPr>
        <w:t xml:space="preserve"> “Modificación al artículo 2.3.1.3. del Título 1 de la Parte 3 del Libro 2</w:t>
      </w:r>
      <w:r w:rsidR="00357E6E">
        <w:rPr>
          <w:rFonts w:ascii="Times New Roman" w:eastAsia="Times New Roman" w:hAnsi="Times New Roman" w:cs="Times New Roman"/>
          <w:i/>
        </w:rPr>
        <w:t xml:space="preserve"> </w:t>
      </w:r>
      <w:r>
        <w:rPr>
          <w:rFonts w:ascii="Times New Roman" w:eastAsia="Times New Roman" w:hAnsi="Times New Roman" w:cs="Times New Roman"/>
          <w:i/>
        </w:rPr>
        <w:t>del Decreto 1080 de 2015, Único Reglamentario del Sector Cultura, el cual quedará así:</w:t>
      </w:r>
    </w:p>
    <w:p w14:paraId="4F52CA36" w14:textId="77777777" w:rsidR="0001640C" w:rsidRDefault="0001640C">
      <w:pPr>
        <w:jc w:val="both"/>
        <w:rPr>
          <w:rFonts w:ascii="Times New Roman" w:eastAsia="Times New Roman" w:hAnsi="Times New Roman" w:cs="Times New Roman"/>
          <w:i/>
        </w:rPr>
      </w:pPr>
    </w:p>
    <w:p w14:paraId="362464FE"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Artículo 2.3.1.3. Competencias institucionales públicas.</w:t>
      </w:r>
      <w:r>
        <w:rPr>
          <w:rFonts w:ascii="Times New Roman" w:eastAsia="Times New Roman" w:hAnsi="Times New Roman" w:cs="Times New Roman"/>
          <w:i/>
        </w:rPr>
        <w:t xml:space="preserve"> Para los fines de este decreto, son entidades públicas del Sistema Nacional de Patrimonio Cultural de la Nación, el Ministerio de Cultura, el Instituto Colombiano de Antropología e Historia, el Archivo General de la Nación, el Instituto Caro y Cuervo, el Consejo Nacional de Patrimonio Cultural, los departamentos, los distritos y municipios, las autoridades </w:t>
      </w:r>
      <w:r>
        <w:rPr>
          <w:rFonts w:ascii="Times New Roman" w:eastAsia="Times New Roman" w:hAnsi="Times New Roman" w:cs="Times New Roman"/>
          <w:i/>
        </w:rPr>
        <w:lastRenderedPageBreak/>
        <w:t>indígenas, las autoridades de que trata la Ley 70 de 1993 y, en general, las entidades estatales que a nivel nacional y territorial desarrollan, financian, fomentan o ejecutan actividades referentes al Patrimonio Cultural de la Nación.</w:t>
      </w:r>
      <w:r>
        <w:rPr>
          <w:rFonts w:ascii="Times New Roman" w:eastAsia="Times New Roman" w:hAnsi="Times New Roman" w:cs="Times New Roman"/>
          <w:i/>
        </w:rPr>
        <w:br/>
        <w:t>(...)</w:t>
      </w:r>
    </w:p>
    <w:p w14:paraId="2D4322EA" w14:textId="77777777" w:rsidR="0001640C" w:rsidRDefault="0001640C">
      <w:pPr>
        <w:ind w:left="720"/>
        <w:jc w:val="both"/>
        <w:rPr>
          <w:rFonts w:ascii="Times New Roman" w:eastAsia="Times New Roman" w:hAnsi="Times New Roman" w:cs="Times New Roman"/>
          <w:i/>
        </w:rPr>
      </w:pPr>
    </w:p>
    <w:p w14:paraId="039F3F28" w14:textId="77777777" w:rsidR="0001640C" w:rsidRDefault="004B4533">
      <w:pPr>
        <w:ind w:left="720"/>
        <w:jc w:val="both"/>
        <w:rPr>
          <w:rFonts w:ascii="Times New Roman" w:eastAsia="Times New Roman" w:hAnsi="Times New Roman" w:cs="Times New Roman"/>
          <w:b/>
          <w:i/>
        </w:rPr>
      </w:pPr>
      <w:r>
        <w:rPr>
          <w:rFonts w:ascii="Times New Roman" w:eastAsia="Times New Roman" w:hAnsi="Times New Roman" w:cs="Times New Roman"/>
          <w:i/>
        </w:rPr>
        <w:t xml:space="preserve">(...) </w:t>
      </w:r>
      <w:r>
        <w:rPr>
          <w:rFonts w:ascii="Times New Roman" w:eastAsia="Times New Roman" w:hAnsi="Times New Roman" w:cs="Times New Roman"/>
          <w:b/>
          <w:i/>
        </w:rPr>
        <w:t>5. De los distritos.</w:t>
      </w:r>
    </w:p>
    <w:p w14:paraId="0F469456" w14:textId="77777777" w:rsidR="0001640C" w:rsidRDefault="0001640C">
      <w:pPr>
        <w:ind w:left="720"/>
        <w:jc w:val="both"/>
        <w:rPr>
          <w:rFonts w:ascii="Times New Roman" w:eastAsia="Times New Roman" w:hAnsi="Times New Roman" w:cs="Times New Roman"/>
          <w:i/>
        </w:rPr>
      </w:pPr>
    </w:p>
    <w:p w14:paraId="21B56091"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xml:space="preserve">A los distritos a través de la respectiva alcaldía distrital, de conformidad con el artículo 8º de la ley 397 de 1997, modificado por el artículo 5° de la Ley 1185 de 2008, les corresponde cumplir respecto de los BIC del ámbito distrital que declare o pretenda declarar como tales, competencias análogas a las señaladas en el numeral 1.2 y sus </w:t>
      </w:r>
      <w:proofErr w:type="spellStart"/>
      <w:r>
        <w:rPr>
          <w:rFonts w:ascii="Times New Roman" w:eastAsia="Times New Roman" w:hAnsi="Times New Roman" w:cs="Times New Roman"/>
          <w:i/>
        </w:rPr>
        <w:t>subnumerales</w:t>
      </w:r>
      <w:proofErr w:type="spellEnd"/>
      <w:r>
        <w:rPr>
          <w:rFonts w:ascii="Times New Roman" w:eastAsia="Times New Roman" w:hAnsi="Times New Roman" w:cs="Times New Roman"/>
          <w:i/>
        </w:rPr>
        <w:t xml:space="preserve"> de este artículo.</w:t>
      </w:r>
    </w:p>
    <w:p w14:paraId="46464C6E" w14:textId="77777777" w:rsidR="0001640C" w:rsidRDefault="0001640C">
      <w:pPr>
        <w:jc w:val="both"/>
        <w:rPr>
          <w:rFonts w:ascii="Times New Roman" w:eastAsia="Times New Roman" w:hAnsi="Times New Roman" w:cs="Times New Roman"/>
          <w:i/>
        </w:rPr>
      </w:pPr>
    </w:p>
    <w:p w14:paraId="11EEE2D1"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También aplicarán dichas competencias respecto de los bienes declarados como monumentos, áreas de conservación histórica o arquitectónica, conjuntos históricos u otras denominaciones efectuadas por los concejos distritales o alcaldías, homologadas a BIC de conformidad con lo establecido en el artículo 4° de la Ley 397 de 1997, modificado por el artículo 1° de la Ley 1185 de 2008, literal "b”.</w:t>
      </w:r>
    </w:p>
    <w:p w14:paraId="14803103" w14:textId="77777777" w:rsidR="0001640C" w:rsidRDefault="0001640C">
      <w:pPr>
        <w:ind w:left="720"/>
        <w:jc w:val="both"/>
        <w:rPr>
          <w:rFonts w:ascii="Times New Roman" w:eastAsia="Times New Roman" w:hAnsi="Times New Roman" w:cs="Times New Roman"/>
          <w:i/>
        </w:rPr>
      </w:pPr>
    </w:p>
    <w:p w14:paraId="14E505B4"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Del mismo modo les compete, en coordinación con el respectivo Concejo Distrital, destinar los recursos que las leyes y los presupuestos correspondientes señalan para las acciones relativas al Patrimonio Cultural de la Nación en lo de su competencia.”</w:t>
      </w:r>
    </w:p>
    <w:p w14:paraId="3118740D" w14:textId="77777777" w:rsidR="0001640C" w:rsidRDefault="0001640C">
      <w:pPr>
        <w:jc w:val="both"/>
        <w:rPr>
          <w:rFonts w:ascii="Times New Roman" w:eastAsia="Times New Roman" w:hAnsi="Times New Roman" w:cs="Times New Roman"/>
          <w:i/>
        </w:rPr>
      </w:pPr>
    </w:p>
    <w:p w14:paraId="1228F044"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4.2.5. NORMAS DISTRITALES</w:t>
      </w:r>
    </w:p>
    <w:p w14:paraId="47961680" w14:textId="77777777" w:rsidR="0001640C" w:rsidRDefault="0001640C">
      <w:pPr>
        <w:jc w:val="both"/>
        <w:rPr>
          <w:rFonts w:ascii="Times New Roman" w:eastAsia="Times New Roman" w:hAnsi="Times New Roman" w:cs="Times New Roman"/>
          <w:b/>
        </w:rPr>
      </w:pPr>
    </w:p>
    <w:p w14:paraId="63EA165F"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4.2.5.1. DECRETOS</w:t>
      </w:r>
    </w:p>
    <w:p w14:paraId="26692D9A" w14:textId="77777777" w:rsidR="0001640C" w:rsidRDefault="0001640C">
      <w:pPr>
        <w:jc w:val="both"/>
        <w:rPr>
          <w:rFonts w:ascii="Times New Roman" w:eastAsia="Times New Roman" w:hAnsi="Times New Roman" w:cs="Times New Roman"/>
          <w:b/>
        </w:rPr>
      </w:pPr>
    </w:p>
    <w:p w14:paraId="2C0746C9"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Decreto 124 de 1998</w:t>
      </w:r>
    </w:p>
    <w:p w14:paraId="2E335EB1"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el cual el cual se reglamenta el contenido de las placas conmemorativas”</w:t>
      </w:r>
    </w:p>
    <w:p w14:paraId="03C485B2" w14:textId="77777777" w:rsidR="0001640C" w:rsidRDefault="0001640C">
      <w:pPr>
        <w:jc w:val="both"/>
        <w:rPr>
          <w:rFonts w:ascii="Times New Roman" w:eastAsia="Times New Roman" w:hAnsi="Times New Roman" w:cs="Times New Roman"/>
          <w:b/>
        </w:rPr>
      </w:pPr>
    </w:p>
    <w:p w14:paraId="2549A587"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b/>
        </w:rPr>
        <w:t xml:space="preserve">Artículo 1. </w:t>
      </w:r>
      <w:r>
        <w:rPr>
          <w:rFonts w:ascii="Times New Roman" w:eastAsia="Times New Roman" w:hAnsi="Times New Roman" w:cs="Times New Roman"/>
          <w:i/>
        </w:rPr>
        <w:t>“Las placas conmemorativas que se instalen a partir de la fecha de expedición de este Decreto, sobre las obras públicas realizadas en el Distrito Capital sólo contendrán como información la denominación de la obra y la fecha.”</w:t>
      </w:r>
    </w:p>
    <w:p w14:paraId="155FF7CC" w14:textId="77777777" w:rsidR="0001640C" w:rsidRDefault="0001640C">
      <w:pPr>
        <w:rPr>
          <w:rFonts w:ascii="Times New Roman" w:eastAsia="Times New Roman" w:hAnsi="Times New Roman" w:cs="Times New Roman"/>
        </w:rPr>
      </w:pPr>
    </w:p>
    <w:p w14:paraId="1DB21917"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Decreto 149 de 2019</w:t>
      </w:r>
    </w:p>
    <w:p w14:paraId="547941E0"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medio del cual se establece la conformación y funcionamiento del Comité Distrital del Espacio Público, la operación de la Ventanilla Única de Implantaciones Artísticas en el Espacio Público VIARTE y se dictan otras disposiciones”</w:t>
      </w:r>
    </w:p>
    <w:p w14:paraId="4AE102E5" w14:textId="77777777" w:rsidR="0001640C" w:rsidRDefault="0001640C">
      <w:pPr>
        <w:jc w:val="both"/>
        <w:rPr>
          <w:rFonts w:ascii="Times New Roman" w:eastAsia="Times New Roman" w:hAnsi="Times New Roman" w:cs="Times New Roman"/>
          <w:b/>
        </w:rPr>
      </w:pPr>
    </w:p>
    <w:p w14:paraId="3538E0D6" w14:textId="42ED6C09"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lastRenderedPageBreak/>
        <w:t xml:space="preserve">En el marco de las disposiciones del Decreto en mención, se estableció que el Comité Distrital del Espacio Público, </w:t>
      </w:r>
      <w:r w:rsidR="00357E6E" w:rsidRPr="00357E6E">
        <w:rPr>
          <w:rFonts w:ascii="Times New Roman" w:eastAsia="Times New Roman" w:hAnsi="Times New Roman" w:cs="Times New Roman"/>
          <w:i/>
          <w:iCs/>
        </w:rPr>
        <w:t>“</w:t>
      </w:r>
      <w:r w:rsidRPr="00357E6E">
        <w:rPr>
          <w:rFonts w:ascii="Times New Roman" w:eastAsia="Times New Roman" w:hAnsi="Times New Roman" w:cs="Times New Roman"/>
          <w:i/>
          <w:iCs/>
        </w:rPr>
        <w:t>es el responsable de emitir concepto sobre los fundamentos teóricos, artísticos, patrimoniales, urbanos y técnicos necesarios para garantizar la pertinencia y calidad de la implantación de expresiones artísticas de carácter permanente en el espacio público de la ciudad, en el marco del Plan de Ordenamiento Territorial de Bogotá y demás normas que rigen la materia</w:t>
      </w:r>
      <w:r w:rsidR="00357E6E" w:rsidRPr="00357E6E">
        <w:rPr>
          <w:rFonts w:ascii="Times New Roman" w:eastAsia="Times New Roman" w:hAnsi="Times New Roman" w:cs="Times New Roman"/>
          <w:i/>
          <w:iCs/>
        </w:rPr>
        <w:t>”.</w:t>
      </w:r>
      <w:r>
        <w:rPr>
          <w:rFonts w:ascii="Times New Roman" w:eastAsia="Times New Roman" w:hAnsi="Times New Roman" w:cs="Times New Roman"/>
        </w:rPr>
        <w:t xml:space="preserve"> El Comité Distrital del Espacio Público, estará conformado por:</w:t>
      </w:r>
    </w:p>
    <w:p w14:paraId="62163CD2" w14:textId="77777777" w:rsidR="0001640C" w:rsidRDefault="0001640C">
      <w:pPr>
        <w:ind w:left="720"/>
        <w:jc w:val="both"/>
        <w:rPr>
          <w:rFonts w:ascii="Times New Roman" w:eastAsia="Times New Roman" w:hAnsi="Times New Roman" w:cs="Times New Roman"/>
        </w:rPr>
      </w:pPr>
    </w:p>
    <w:p w14:paraId="0A281E48"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Secretario (a) Distrital de Cultura, Recreación y Deporte quien lo preside.</w:t>
      </w:r>
    </w:p>
    <w:p w14:paraId="401E6967"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Subdirector (a) de Gestión Cultural y Artística de la SCRD quien ejerce la</w:t>
      </w:r>
    </w:p>
    <w:p w14:paraId="69BE6590"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Secretaría Técnica.</w:t>
      </w:r>
    </w:p>
    <w:p w14:paraId="484B3AA6"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Secretario (a) Distrital de Planeación</w:t>
      </w:r>
    </w:p>
    <w:p w14:paraId="0915DD62"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Director (a) del IDARTES.</w:t>
      </w:r>
    </w:p>
    <w:p w14:paraId="26DA9B5F"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Director (a) del IDPC.</w:t>
      </w:r>
    </w:p>
    <w:p w14:paraId="2B8749C7"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Director (a) del DADEP.</w:t>
      </w:r>
    </w:p>
    <w:p w14:paraId="00262EF7"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El (la) Director (a) del IDU.</w:t>
      </w:r>
    </w:p>
    <w:p w14:paraId="53E45AC6"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Dos (2) delegados de las instituciones de educación superior que tengan programas en artes plásticas y visuales en el Distrito Capital.</w:t>
      </w:r>
    </w:p>
    <w:p w14:paraId="7A7B3BBD" w14:textId="77777777" w:rsidR="0001640C" w:rsidRDefault="0001640C">
      <w:pPr>
        <w:ind w:left="720"/>
        <w:jc w:val="both"/>
        <w:rPr>
          <w:rFonts w:ascii="Times New Roman" w:eastAsia="Times New Roman" w:hAnsi="Times New Roman" w:cs="Times New Roman"/>
        </w:rPr>
      </w:pPr>
    </w:p>
    <w:p w14:paraId="64AFB9C5" w14:textId="29565FAD"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En el marco del Comité Distrital del Espacio Público, se realizan Mesas de Apoyo Técnico MAT, para brindar orientación técnica y jurídica a las personas naturales, jurídicas y entidades del orden distrital, nacional e internacional interesadas en la implantación de expresiones artísticas en el espacio público del Distrito Capital, para la construcción del proyecto que se debe radicar en la VIARTE y posterior aprobación por los miembros del Comité.</w:t>
      </w:r>
    </w:p>
    <w:p w14:paraId="44769B00" w14:textId="77777777" w:rsidR="0001640C" w:rsidRDefault="0001640C">
      <w:pPr>
        <w:ind w:left="720"/>
        <w:jc w:val="both"/>
        <w:rPr>
          <w:rFonts w:ascii="Times New Roman" w:eastAsia="Times New Roman" w:hAnsi="Times New Roman" w:cs="Times New Roman"/>
        </w:rPr>
      </w:pPr>
    </w:p>
    <w:p w14:paraId="15252013" w14:textId="77777777" w:rsidR="0001640C" w:rsidRDefault="004B4533">
      <w:pPr>
        <w:ind w:left="720"/>
        <w:jc w:val="both"/>
        <w:rPr>
          <w:rFonts w:ascii="Times New Roman" w:eastAsia="Times New Roman" w:hAnsi="Times New Roman" w:cs="Times New Roman"/>
          <w:b/>
          <w:color w:val="38761D"/>
        </w:rPr>
      </w:pPr>
      <w:r>
        <w:rPr>
          <w:rFonts w:ascii="Times New Roman" w:eastAsia="Times New Roman" w:hAnsi="Times New Roman" w:cs="Times New Roman"/>
        </w:rPr>
        <w:t>Posterior a la aprobación del Comité y una vez la Secretaría Distrital de Cultura, Recreación y Deporte expida el acto administrativo adoptando la decisión; el interesado deberá tramitar la Licencia de intervención y ocupación del espacio público, de conformidad con lo establecido en el Plan de Ordenamiento Territorial de Bogotá.</w:t>
      </w:r>
    </w:p>
    <w:p w14:paraId="4C4C40E8" w14:textId="77777777" w:rsidR="0001640C" w:rsidRDefault="0001640C">
      <w:pPr>
        <w:jc w:val="both"/>
        <w:rPr>
          <w:rFonts w:ascii="Times New Roman" w:eastAsia="Times New Roman" w:hAnsi="Times New Roman" w:cs="Times New Roman"/>
        </w:rPr>
      </w:pPr>
    </w:p>
    <w:p w14:paraId="2462F37A"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Decreto 522 de 2023</w:t>
      </w:r>
    </w:p>
    <w:p w14:paraId="03235814"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medio del cual se reglamenta el Sistema Distrital de Patrimonio Cultural y se dictan otras disposiciones”</w:t>
      </w:r>
    </w:p>
    <w:p w14:paraId="7DF6B90D" w14:textId="77777777" w:rsidR="0001640C" w:rsidRDefault="0001640C">
      <w:pPr>
        <w:jc w:val="both"/>
        <w:rPr>
          <w:rFonts w:ascii="Times New Roman" w:eastAsia="Times New Roman" w:hAnsi="Times New Roman" w:cs="Times New Roman"/>
          <w:b/>
        </w:rPr>
      </w:pPr>
    </w:p>
    <w:p w14:paraId="7D2613FE" w14:textId="77777777"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rPr>
        <w:t xml:space="preserve">A través del Decreto en mención, se asigna a la Secretaría de Cultura, Recreación y Deporte, según el artículo cuarto, entre otros, las siguientes funciones: </w:t>
      </w:r>
    </w:p>
    <w:p w14:paraId="38D9FA2D" w14:textId="77777777" w:rsidR="0001640C" w:rsidRDefault="0001640C">
      <w:pPr>
        <w:ind w:left="720"/>
        <w:jc w:val="both"/>
        <w:rPr>
          <w:rFonts w:ascii="Times New Roman" w:eastAsia="Times New Roman" w:hAnsi="Times New Roman" w:cs="Times New Roman"/>
          <w:b/>
        </w:rPr>
      </w:pPr>
    </w:p>
    <w:p w14:paraId="1D5F506A" w14:textId="77777777" w:rsidR="0001640C" w:rsidRDefault="004B4533">
      <w:pPr>
        <w:ind w:left="720"/>
        <w:jc w:val="both"/>
        <w:rPr>
          <w:rFonts w:ascii="Times New Roman" w:eastAsia="Times New Roman" w:hAnsi="Times New Roman" w:cs="Times New Roman"/>
          <w:b/>
          <w:i/>
        </w:rPr>
      </w:pPr>
      <w:r>
        <w:rPr>
          <w:rFonts w:ascii="Times New Roman" w:eastAsia="Times New Roman" w:hAnsi="Times New Roman" w:cs="Times New Roman"/>
          <w:b/>
          <w:i/>
        </w:rPr>
        <w:lastRenderedPageBreak/>
        <w:t xml:space="preserve">“(...) 4.2. Competencias específicas frente al patrimonio cultural del Distrito Capital </w:t>
      </w:r>
    </w:p>
    <w:p w14:paraId="6C9CB198" w14:textId="77777777" w:rsidR="0001640C" w:rsidRDefault="0001640C">
      <w:pPr>
        <w:ind w:left="720"/>
        <w:jc w:val="both"/>
        <w:rPr>
          <w:rFonts w:ascii="Times New Roman" w:eastAsia="Times New Roman" w:hAnsi="Times New Roman" w:cs="Times New Roman"/>
          <w:b/>
          <w:i/>
        </w:rPr>
      </w:pPr>
    </w:p>
    <w:p w14:paraId="5256122C"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xml:space="preserve">a. Realizar la inclusión en la Lista Indicativa de Candidatos a Bienes de Interés Cultural del ámbito distrital, de los bienes que podrían llegar a ser declarados como tal. </w:t>
      </w:r>
    </w:p>
    <w:p w14:paraId="4B0408DC" w14:textId="77777777"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c. Efectuar la declaratoria o revocatoria de los bienes de interés cultural del ámbito distrital o modificación del nivel de intervención de los mismos, previo concepto del Consejo Distrital de Patrimonio Cultural.”</w:t>
      </w:r>
    </w:p>
    <w:p w14:paraId="74D4C8D2" w14:textId="77777777" w:rsidR="0001640C" w:rsidRDefault="0001640C">
      <w:pPr>
        <w:jc w:val="both"/>
        <w:rPr>
          <w:rFonts w:ascii="Times New Roman" w:eastAsia="Times New Roman" w:hAnsi="Times New Roman" w:cs="Times New Roman"/>
          <w:i/>
        </w:rPr>
      </w:pPr>
    </w:p>
    <w:p w14:paraId="22290585"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4.2.5.2. ACUERDOS</w:t>
      </w:r>
    </w:p>
    <w:p w14:paraId="1AC58215" w14:textId="77777777" w:rsidR="0001640C" w:rsidRDefault="0001640C">
      <w:pPr>
        <w:jc w:val="both"/>
        <w:rPr>
          <w:rFonts w:ascii="Times New Roman" w:eastAsia="Times New Roman" w:hAnsi="Times New Roman" w:cs="Times New Roman"/>
          <w:b/>
        </w:rPr>
      </w:pPr>
    </w:p>
    <w:p w14:paraId="261C0D0A"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Acuerdo 927 de 2024 </w:t>
      </w:r>
    </w:p>
    <w:p w14:paraId="1D2CEEF5"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“Por medio del cual se adopta el Plan de Desarrollo Económico, Social, Ambiental y de Obras Públicas del Distrito Capital 2024-2027 “Bogotá Camina Segura””</w:t>
      </w:r>
    </w:p>
    <w:p w14:paraId="5FD7FAED" w14:textId="77777777" w:rsidR="0001640C" w:rsidRDefault="0001640C">
      <w:pPr>
        <w:jc w:val="both"/>
        <w:rPr>
          <w:rFonts w:ascii="Times New Roman" w:eastAsia="Times New Roman" w:hAnsi="Times New Roman" w:cs="Times New Roman"/>
          <w:b/>
        </w:rPr>
      </w:pPr>
    </w:p>
    <w:p w14:paraId="7BC252B3" w14:textId="77777777" w:rsidR="0001640C" w:rsidRDefault="004B4533" w:rsidP="00357E6E">
      <w:pPr>
        <w:ind w:left="720"/>
        <w:jc w:val="both"/>
        <w:rPr>
          <w:rFonts w:ascii="Times New Roman" w:eastAsia="Times New Roman" w:hAnsi="Times New Roman" w:cs="Times New Roman"/>
        </w:rPr>
      </w:pPr>
      <w:r>
        <w:rPr>
          <w:rFonts w:ascii="Times New Roman" w:eastAsia="Times New Roman" w:hAnsi="Times New Roman" w:cs="Times New Roman"/>
        </w:rPr>
        <w:t xml:space="preserve">El presente Proyecto de Acuerdo se encuentra en concordancia con el Programa 14. Bogotá deportiva, recreativa, artística, patrimonial e intercultural. </w:t>
      </w:r>
    </w:p>
    <w:p w14:paraId="68EB9FDA" w14:textId="77777777" w:rsidR="0001640C" w:rsidRDefault="0001640C">
      <w:pPr>
        <w:jc w:val="both"/>
        <w:rPr>
          <w:rFonts w:ascii="Times New Roman" w:eastAsia="Times New Roman" w:hAnsi="Times New Roman" w:cs="Times New Roman"/>
        </w:rPr>
      </w:pPr>
    </w:p>
    <w:p w14:paraId="32604D95" w14:textId="71A1317B" w:rsidR="0001640C" w:rsidRDefault="004B4533">
      <w:pPr>
        <w:ind w:left="720"/>
        <w:jc w:val="both"/>
        <w:rPr>
          <w:rFonts w:ascii="Times New Roman" w:eastAsia="Times New Roman" w:hAnsi="Times New Roman" w:cs="Times New Roman"/>
          <w:i/>
        </w:rPr>
      </w:pPr>
      <w:r>
        <w:rPr>
          <w:rFonts w:ascii="Times New Roman" w:eastAsia="Times New Roman" w:hAnsi="Times New Roman" w:cs="Times New Roman"/>
          <w:i/>
        </w:rPr>
        <w:t>“(...) se podrá llevar a cabo el desarrollo de iniciativas de memoria histórica del conflicto y las memorias locales, comunitarias y barriales (...)”</w:t>
      </w:r>
    </w:p>
    <w:p w14:paraId="338D095F" w14:textId="77777777" w:rsidR="0001640C" w:rsidRDefault="0001640C">
      <w:pPr>
        <w:jc w:val="both"/>
        <w:rPr>
          <w:rFonts w:ascii="Times New Roman" w:eastAsia="Times New Roman" w:hAnsi="Times New Roman" w:cs="Times New Roman"/>
          <w:i/>
        </w:rPr>
      </w:pPr>
    </w:p>
    <w:p w14:paraId="44AD5CD9"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4.2.5.3. RESOLUCIONES</w:t>
      </w:r>
    </w:p>
    <w:p w14:paraId="49CFDAC8" w14:textId="77777777" w:rsidR="0001640C" w:rsidRDefault="0001640C">
      <w:pPr>
        <w:jc w:val="both"/>
        <w:rPr>
          <w:rFonts w:ascii="Times New Roman" w:eastAsia="Times New Roman" w:hAnsi="Times New Roman" w:cs="Times New Roman"/>
        </w:rPr>
      </w:pPr>
    </w:p>
    <w:p w14:paraId="4608FE5A"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Resolución SDP 035 de 2006 </w:t>
      </w:r>
    </w:p>
    <w:p w14:paraId="62129869"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“Por la cual se declaran unos Bienes de Interés Cultural en Bogotá D.C. y se dictan otras disposiciones” </w:t>
      </w:r>
    </w:p>
    <w:p w14:paraId="7E6DEC8D" w14:textId="77777777" w:rsidR="0001640C" w:rsidRDefault="0001640C">
      <w:pPr>
        <w:jc w:val="both"/>
        <w:rPr>
          <w:rFonts w:ascii="Times New Roman" w:eastAsia="Times New Roman" w:hAnsi="Times New Roman" w:cs="Times New Roman"/>
          <w:b/>
        </w:rPr>
      </w:pPr>
    </w:p>
    <w:p w14:paraId="5A18D974" w14:textId="77777777" w:rsidR="0001640C" w:rsidRDefault="004B4533" w:rsidP="00357E6E">
      <w:pPr>
        <w:ind w:left="720"/>
        <w:jc w:val="both"/>
        <w:rPr>
          <w:rFonts w:ascii="Times New Roman" w:eastAsia="Times New Roman" w:hAnsi="Times New Roman" w:cs="Times New Roman"/>
        </w:rPr>
      </w:pPr>
      <w:r>
        <w:rPr>
          <w:rFonts w:ascii="Times New Roman" w:eastAsia="Times New Roman" w:hAnsi="Times New Roman" w:cs="Times New Roman"/>
        </w:rPr>
        <w:t xml:space="preserve">En el </w:t>
      </w:r>
      <w:r>
        <w:rPr>
          <w:rFonts w:ascii="Times New Roman" w:eastAsia="Times New Roman" w:hAnsi="Times New Roman" w:cs="Times New Roman"/>
          <w:b/>
        </w:rPr>
        <w:t>Artículo. 1</w:t>
      </w:r>
      <w:r>
        <w:rPr>
          <w:rFonts w:ascii="Times New Roman" w:eastAsia="Times New Roman" w:hAnsi="Times New Roman" w:cs="Times New Roman"/>
          <w:i/>
        </w:rPr>
        <w:t xml:space="preserve"> “Declarar como Bienes de Interés Cultural los siguientes monumentos conmemorativos y objetos artísticos localizados en el espacio público del Distrito Capital.”, </w:t>
      </w:r>
      <w:r>
        <w:rPr>
          <w:rFonts w:ascii="Times New Roman" w:eastAsia="Times New Roman" w:hAnsi="Times New Roman" w:cs="Times New Roman"/>
        </w:rPr>
        <w:t xml:space="preserve">la estatua de Policarpa Salavarrieta en Las Aguas fue declarada Bien de Interés Cultural a nivel distrital. </w:t>
      </w:r>
    </w:p>
    <w:p w14:paraId="065B1721" w14:textId="77777777" w:rsidR="0001640C" w:rsidRDefault="0001640C">
      <w:pPr>
        <w:jc w:val="both"/>
        <w:rPr>
          <w:rFonts w:ascii="Times New Roman" w:eastAsia="Times New Roman" w:hAnsi="Times New Roman" w:cs="Times New Roman"/>
          <w:b/>
          <w:i/>
        </w:rPr>
      </w:pPr>
    </w:p>
    <w:p w14:paraId="6F92F440" w14:textId="77777777" w:rsidR="0001640C" w:rsidRDefault="0001640C">
      <w:pPr>
        <w:jc w:val="both"/>
        <w:rPr>
          <w:rFonts w:ascii="Times New Roman" w:eastAsia="Times New Roman" w:hAnsi="Times New Roman" w:cs="Times New Roman"/>
          <w:b/>
          <w:i/>
        </w:rPr>
      </w:pPr>
    </w:p>
    <w:p w14:paraId="73B11BFB"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5. COMPETENCIA </w:t>
      </w:r>
    </w:p>
    <w:p w14:paraId="6C8B5934" w14:textId="77777777" w:rsidR="0001640C" w:rsidRDefault="0001640C">
      <w:pPr>
        <w:rPr>
          <w:rFonts w:ascii="Times New Roman" w:eastAsia="Times New Roman" w:hAnsi="Times New Roman" w:cs="Times New Roman"/>
        </w:rPr>
      </w:pPr>
    </w:p>
    <w:p w14:paraId="38EA04D2"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El Concejo de Bogotá D.C. tiene la competencia para dictar normas relacionadas con la naturaleza y el alcance del presente Proyecto de Acuerdo, según las disposiciones </w:t>
      </w:r>
      <w:r>
        <w:rPr>
          <w:rFonts w:ascii="Times New Roman" w:eastAsia="Times New Roman" w:hAnsi="Times New Roman" w:cs="Times New Roman"/>
        </w:rPr>
        <w:lastRenderedPageBreak/>
        <w:t xml:space="preserve">constitucionales y legales vigentes. En primer lugar, el </w:t>
      </w:r>
      <w:r>
        <w:rPr>
          <w:rFonts w:ascii="Times New Roman" w:eastAsia="Times New Roman" w:hAnsi="Times New Roman" w:cs="Times New Roman"/>
          <w:i/>
        </w:rPr>
        <w:t>artículo 313 de la Constitución Política de Colombia</w:t>
      </w:r>
      <w:r>
        <w:rPr>
          <w:rFonts w:ascii="Times New Roman" w:eastAsia="Times New Roman" w:hAnsi="Times New Roman" w:cs="Times New Roman"/>
        </w:rPr>
        <w:t xml:space="preserve"> establece que:</w:t>
      </w:r>
    </w:p>
    <w:p w14:paraId="04C7B98B" w14:textId="77777777" w:rsidR="0001640C" w:rsidRDefault="0001640C">
      <w:pPr>
        <w:rPr>
          <w:rFonts w:ascii="Times New Roman" w:eastAsia="Times New Roman" w:hAnsi="Times New Roman" w:cs="Times New Roman"/>
        </w:rPr>
      </w:pPr>
    </w:p>
    <w:p w14:paraId="7D25C762" w14:textId="77777777" w:rsidR="0001640C" w:rsidRDefault="004B4533">
      <w:pPr>
        <w:ind w:left="566"/>
        <w:jc w:val="both"/>
        <w:rPr>
          <w:rFonts w:ascii="Times New Roman" w:eastAsia="Times New Roman" w:hAnsi="Times New Roman" w:cs="Times New Roman"/>
        </w:rPr>
      </w:pPr>
      <w:r>
        <w:rPr>
          <w:rFonts w:ascii="Times New Roman" w:eastAsia="Times New Roman" w:hAnsi="Times New Roman" w:cs="Times New Roman"/>
          <w:b/>
        </w:rPr>
        <w:t>Artículo 313.</w:t>
      </w:r>
      <w:r>
        <w:rPr>
          <w:rFonts w:ascii="Times New Roman" w:eastAsia="Times New Roman" w:hAnsi="Times New Roman" w:cs="Times New Roman"/>
          <w:i/>
        </w:rPr>
        <w:t xml:space="preserve"> “Corresponde a los Concejos:</w:t>
      </w:r>
    </w:p>
    <w:p w14:paraId="2D5EFC27" w14:textId="77777777" w:rsidR="0001640C" w:rsidRDefault="0001640C">
      <w:pPr>
        <w:rPr>
          <w:rFonts w:ascii="Times New Roman" w:eastAsia="Times New Roman" w:hAnsi="Times New Roman" w:cs="Times New Roman"/>
        </w:rPr>
      </w:pPr>
    </w:p>
    <w:p w14:paraId="2FFC4042" w14:textId="77777777" w:rsidR="0001640C" w:rsidRDefault="004B4533">
      <w:pPr>
        <w:ind w:left="566"/>
        <w:jc w:val="both"/>
        <w:rPr>
          <w:rFonts w:ascii="Times New Roman" w:eastAsia="Times New Roman" w:hAnsi="Times New Roman" w:cs="Times New Roman"/>
          <w:i/>
        </w:rPr>
      </w:pPr>
      <w:r>
        <w:rPr>
          <w:rFonts w:ascii="Times New Roman" w:eastAsia="Times New Roman" w:hAnsi="Times New Roman" w:cs="Times New Roman"/>
          <w:i/>
        </w:rPr>
        <w:t>1. Reglamentar las funciones y la eficiente prestación de los servicios a cargo del municipio.</w:t>
      </w:r>
    </w:p>
    <w:p w14:paraId="7B39E084" w14:textId="77777777" w:rsidR="0001640C" w:rsidRDefault="004B4533">
      <w:pPr>
        <w:ind w:left="566"/>
        <w:jc w:val="both"/>
        <w:rPr>
          <w:rFonts w:ascii="Times New Roman" w:eastAsia="Times New Roman" w:hAnsi="Times New Roman" w:cs="Times New Roman"/>
          <w:i/>
        </w:rPr>
      </w:pPr>
      <w:r>
        <w:rPr>
          <w:rFonts w:ascii="Times New Roman" w:eastAsia="Times New Roman" w:hAnsi="Times New Roman" w:cs="Times New Roman"/>
          <w:i/>
        </w:rPr>
        <w:t>(...)</w:t>
      </w:r>
    </w:p>
    <w:p w14:paraId="76671F29" w14:textId="77777777" w:rsidR="0001640C" w:rsidRDefault="004B4533">
      <w:pPr>
        <w:ind w:left="566"/>
        <w:jc w:val="both"/>
        <w:rPr>
          <w:rFonts w:ascii="Times New Roman" w:eastAsia="Times New Roman" w:hAnsi="Times New Roman" w:cs="Times New Roman"/>
          <w:i/>
        </w:rPr>
      </w:pPr>
      <w:r>
        <w:rPr>
          <w:rFonts w:ascii="Times New Roman" w:eastAsia="Times New Roman" w:hAnsi="Times New Roman" w:cs="Times New Roman"/>
          <w:i/>
          <w:highlight w:val="white"/>
        </w:rPr>
        <w:t>9. Dictar las normas necesarias para el control, la preservación y defensa del patrimonio ecológico y cultural del municipio.</w:t>
      </w:r>
    </w:p>
    <w:p w14:paraId="6D2367CB" w14:textId="77777777" w:rsidR="0001640C" w:rsidRDefault="0001640C">
      <w:pPr>
        <w:rPr>
          <w:rFonts w:ascii="Times New Roman" w:eastAsia="Times New Roman" w:hAnsi="Times New Roman" w:cs="Times New Roman"/>
        </w:rPr>
      </w:pPr>
    </w:p>
    <w:p w14:paraId="0251D95A"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En segundo lugar, el </w:t>
      </w:r>
      <w:r>
        <w:rPr>
          <w:rFonts w:ascii="Times New Roman" w:eastAsia="Times New Roman" w:hAnsi="Times New Roman" w:cs="Times New Roman"/>
          <w:i/>
        </w:rPr>
        <w:t>artículo 12 del Decreto Ley 1421 de 1993 - Estatuto Orgánico de Bogotá -</w:t>
      </w:r>
      <w:r>
        <w:rPr>
          <w:rFonts w:ascii="Times New Roman" w:eastAsia="Times New Roman" w:hAnsi="Times New Roman" w:cs="Times New Roman"/>
        </w:rPr>
        <w:t xml:space="preserve"> estipula que:</w:t>
      </w:r>
    </w:p>
    <w:p w14:paraId="190BF5E3" w14:textId="77777777" w:rsidR="0001640C" w:rsidRDefault="0001640C">
      <w:pPr>
        <w:rPr>
          <w:rFonts w:ascii="Times New Roman" w:eastAsia="Times New Roman" w:hAnsi="Times New Roman" w:cs="Times New Roman"/>
        </w:rPr>
      </w:pPr>
    </w:p>
    <w:p w14:paraId="7AE4D50A" w14:textId="77777777" w:rsidR="0001640C" w:rsidRDefault="004B4533">
      <w:pPr>
        <w:ind w:left="566"/>
        <w:jc w:val="both"/>
        <w:rPr>
          <w:rFonts w:ascii="Times New Roman" w:eastAsia="Times New Roman" w:hAnsi="Times New Roman" w:cs="Times New Roman"/>
        </w:rPr>
      </w:pPr>
      <w:r>
        <w:rPr>
          <w:rFonts w:ascii="Times New Roman" w:eastAsia="Times New Roman" w:hAnsi="Times New Roman" w:cs="Times New Roman"/>
          <w:b/>
        </w:rPr>
        <w:t xml:space="preserve">Artículo 12. Atribuciones. </w:t>
      </w:r>
      <w:r>
        <w:rPr>
          <w:rFonts w:ascii="Times New Roman" w:eastAsia="Times New Roman" w:hAnsi="Times New Roman" w:cs="Times New Roman"/>
          <w:i/>
        </w:rPr>
        <w:t>“Corresponde al Concejo Distrital, de conformidad con la Constitución y a la ley:</w:t>
      </w:r>
    </w:p>
    <w:p w14:paraId="37CDCDBB" w14:textId="77777777" w:rsidR="0001640C" w:rsidRDefault="0001640C">
      <w:pPr>
        <w:rPr>
          <w:rFonts w:ascii="Times New Roman" w:eastAsia="Times New Roman" w:hAnsi="Times New Roman" w:cs="Times New Roman"/>
        </w:rPr>
      </w:pPr>
    </w:p>
    <w:p w14:paraId="6D5A4464" w14:textId="77777777" w:rsidR="0001640C" w:rsidRDefault="004B4533">
      <w:pPr>
        <w:ind w:left="566"/>
        <w:jc w:val="both"/>
        <w:rPr>
          <w:rFonts w:ascii="Times New Roman" w:eastAsia="Times New Roman" w:hAnsi="Times New Roman" w:cs="Times New Roman"/>
          <w:i/>
        </w:rPr>
      </w:pPr>
      <w:r>
        <w:rPr>
          <w:rFonts w:ascii="Times New Roman" w:eastAsia="Times New Roman" w:hAnsi="Times New Roman" w:cs="Times New Roman"/>
          <w:i/>
        </w:rPr>
        <w:t>1. Dictar las normas necesarias para garantizar el adecuado cumplimiento de las funciones y la eficiente prestación de los servicios a cargo del Distrito</w:t>
      </w:r>
      <w:r>
        <w:rPr>
          <w:rFonts w:ascii="Times New Roman" w:eastAsia="Times New Roman" w:hAnsi="Times New Roman" w:cs="Times New Roman"/>
          <w:i/>
        </w:rPr>
        <w:br/>
        <w:t>(...)</w:t>
      </w:r>
    </w:p>
    <w:p w14:paraId="3AFE98C7" w14:textId="77777777" w:rsidR="0001640C" w:rsidRDefault="004B4533">
      <w:pPr>
        <w:ind w:left="566"/>
        <w:jc w:val="both"/>
        <w:rPr>
          <w:rFonts w:ascii="Times New Roman" w:eastAsia="Times New Roman" w:hAnsi="Times New Roman" w:cs="Times New Roman"/>
          <w:i/>
        </w:rPr>
      </w:pPr>
      <w:r>
        <w:rPr>
          <w:rFonts w:ascii="Times New Roman" w:eastAsia="Times New Roman" w:hAnsi="Times New Roman" w:cs="Times New Roman"/>
          <w:i/>
        </w:rPr>
        <w:t>13. Regular la preservación y defensa del patrimonio cultural.</w:t>
      </w:r>
    </w:p>
    <w:p w14:paraId="5437EC13" w14:textId="77777777" w:rsidR="0001640C" w:rsidRDefault="004B4533">
      <w:pPr>
        <w:ind w:left="566"/>
        <w:jc w:val="both"/>
        <w:rPr>
          <w:rFonts w:ascii="Times New Roman" w:eastAsia="Times New Roman" w:hAnsi="Times New Roman" w:cs="Times New Roman"/>
        </w:rPr>
      </w:pPr>
      <w:r>
        <w:rPr>
          <w:rFonts w:ascii="Times New Roman" w:eastAsia="Times New Roman" w:hAnsi="Times New Roman" w:cs="Times New Roman"/>
          <w:i/>
        </w:rPr>
        <w:t>(...)</w:t>
      </w:r>
      <w:r>
        <w:rPr>
          <w:rFonts w:ascii="Times New Roman" w:eastAsia="Times New Roman" w:hAnsi="Times New Roman" w:cs="Times New Roman"/>
          <w:i/>
        </w:rPr>
        <w:br/>
        <w:t>23. Ejercer de conformidad con lo dispuesto en el artículo 7º del presente estatuto, las atribuciones que la Constitución y las leyes asignen a las asambleas departamentales.</w:t>
      </w:r>
      <w:r>
        <w:rPr>
          <w:rFonts w:ascii="Times New Roman" w:eastAsia="Times New Roman" w:hAnsi="Times New Roman" w:cs="Times New Roman"/>
          <w:i/>
        </w:rPr>
        <w:br/>
        <w:t>(...)”.</w:t>
      </w:r>
    </w:p>
    <w:p w14:paraId="00687052" w14:textId="77777777" w:rsidR="0001640C" w:rsidRDefault="0001640C">
      <w:pPr>
        <w:rPr>
          <w:rFonts w:ascii="Times New Roman" w:eastAsia="Times New Roman" w:hAnsi="Times New Roman" w:cs="Times New Roman"/>
        </w:rPr>
      </w:pPr>
    </w:p>
    <w:p w14:paraId="41A99DFB" w14:textId="77777777" w:rsidR="0001640C" w:rsidRDefault="0001640C">
      <w:pPr>
        <w:rPr>
          <w:rFonts w:ascii="Times New Roman" w:eastAsia="Times New Roman" w:hAnsi="Times New Roman" w:cs="Times New Roman"/>
        </w:rPr>
      </w:pPr>
    </w:p>
    <w:p w14:paraId="231E75C3"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6. IMPACTO FISCAL</w:t>
      </w:r>
    </w:p>
    <w:p w14:paraId="629877F4" w14:textId="77777777" w:rsidR="0001640C" w:rsidRDefault="0001640C">
      <w:pPr>
        <w:rPr>
          <w:rFonts w:ascii="Times New Roman" w:eastAsia="Times New Roman" w:hAnsi="Times New Roman" w:cs="Times New Roman"/>
        </w:rPr>
      </w:pPr>
    </w:p>
    <w:p w14:paraId="0E3EBBBD" w14:textId="47FD45A8"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Este proyecto de acuerdo no genera impacto fiscal, porque se trata de hacer un reconocimiento que se atenderá con el presupuesto y rubros destinados para tal fin en el Concejo de Bogotá. Es relevante mencionar, para el caso en concreto, que no obstante lo anterior, la Corte Constitucional en Sentencia C-911 de 2007, puntualizó que el impacto fiscal de las </w:t>
      </w:r>
      <w:r w:rsidR="00964E11">
        <w:rPr>
          <w:rFonts w:ascii="Times New Roman" w:eastAsia="Times New Roman" w:hAnsi="Times New Roman" w:cs="Times New Roman"/>
        </w:rPr>
        <w:t>normas</w:t>
      </w:r>
      <w:r>
        <w:rPr>
          <w:rFonts w:ascii="Times New Roman" w:eastAsia="Times New Roman" w:hAnsi="Times New Roman" w:cs="Times New Roman"/>
        </w:rPr>
        <w:t xml:space="preserve"> no puede convertirse en óbice para que las corporaciones públicas ejerzan su función legislativa y normativa, afirmando:</w:t>
      </w:r>
    </w:p>
    <w:p w14:paraId="17B4EAF3" w14:textId="77777777" w:rsidR="0001640C" w:rsidRDefault="0001640C">
      <w:pPr>
        <w:jc w:val="both"/>
        <w:rPr>
          <w:rFonts w:ascii="Times New Roman" w:eastAsia="Times New Roman" w:hAnsi="Times New Roman" w:cs="Times New Roman"/>
        </w:rPr>
      </w:pPr>
    </w:p>
    <w:p w14:paraId="12A622FA" w14:textId="4CF1A87C" w:rsidR="0001640C" w:rsidRDefault="004B4533">
      <w:pPr>
        <w:ind w:left="720"/>
        <w:jc w:val="both"/>
        <w:rPr>
          <w:rFonts w:ascii="Times New Roman" w:eastAsia="Times New Roman" w:hAnsi="Times New Roman" w:cs="Times New Roman"/>
        </w:rPr>
      </w:pPr>
      <w:r>
        <w:rPr>
          <w:rFonts w:ascii="Times New Roman" w:eastAsia="Times New Roman" w:hAnsi="Times New Roman" w:cs="Times New Roman"/>
          <w:i/>
        </w:rPr>
        <w:t xml:space="preserve">“En la realidad, aceptar que las condiciones establecidas en el art. 7° de la Ley 819 de 2003 constituyen un requisito de trámite que le incumbe cumplir única y exclusivamente al Congreso reduce desproporcionadamente la capacidad de </w:t>
      </w:r>
      <w:r>
        <w:rPr>
          <w:rFonts w:ascii="Times New Roman" w:eastAsia="Times New Roman" w:hAnsi="Times New Roman" w:cs="Times New Roman"/>
          <w:i/>
        </w:rPr>
        <w:lastRenderedPageBreak/>
        <w:t xml:space="preserve">iniciativa legislativa que reside en el Congreso de la República, con lo cual se vulnera el principio de separación de las Ramas del Poder Público, en la medida en que se lesiona seriamente la autonomía del Legislativo. (…) Precisamente, los obstáculos casi insuperables que se generarían para la actividad legislativa del Congreso de la República conducirían a concederle una forma de poder de veto al </w:t>
      </w:r>
      <w:r w:rsidR="00964E11">
        <w:rPr>
          <w:rFonts w:ascii="Times New Roman" w:eastAsia="Times New Roman" w:hAnsi="Times New Roman" w:cs="Times New Roman"/>
          <w:i/>
        </w:rPr>
        <w:t>ministro</w:t>
      </w:r>
      <w:r>
        <w:rPr>
          <w:rFonts w:ascii="Times New Roman" w:eastAsia="Times New Roman" w:hAnsi="Times New Roman" w:cs="Times New Roman"/>
          <w:i/>
        </w:rPr>
        <w:t xml:space="preserve">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w:t>
      </w:r>
      <w:r w:rsidR="00964E11">
        <w:rPr>
          <w:rFonts w:ascii="Times New Roman" w:eastAsia="Times New Roman" w:hAnsi="Times New Roman" w:cs="Times New Roman"/>
          <w:i/>
        </w:rPr>
        <w:t>ministro</w:t>
      </w:r>
      <w:r>
        <w:rPr>
          <w:rFonts w:ascii="Times New Roman" w:eastAsia="Times New Roman" w:hAnsi="Times New Roman" w:cs="Times New Roman"/>
          <w:i/>
        </w:rPr>
        <w:t xml:space="preserve"> de Hacienda”.</w:t>
      </w:r>
    </w:p>
    <w:p w14:paraId="0A989B3A" w14:textId="77777777" w:rsidR="0001640C" w:rsidRDefault="0001640C">
      <w:pPr>
        <w:jc w:val="both"/>
      </w:pPr>
    </w:p>
    <w:p w14:paraId="1B87C1B6" w14:textId="77777777" w:rsidR="0001640C" w:rsidRDefault="0001640C">
      <w:pPr>
        <w:jc w:val="both"/>
      </w:pPr>
    </w:p>
    <w:p w14:paraId="421F1B17" w14:textId="77777777" w:rsidR="0001640C" w:rsidRDefault="0001640C">
      <w:pPr>
        <w:jc w:val="both"/>
      </w:pPr>
    </w:p>
    <w:p w14:paraId="3E5F0F22"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Cordialmente, </w:t>
      </w:r>
    </w:p>
    <w:p w14:paraId="5FD453A8" w14:textId="77777777" w:rsidR="0001640C" w:rsidRDefault="0001640C">
      <w:pPr>
        <w:jc w:val="both"/>
        <w:rPr>
          <w:rFonts w:ascii="Times New Roman" w:eastAsia="Times New Roman" w:hAnsi="Times New Roman" w:cs="Times New Roman"/>
        </w:rPr>
      </w:pPr>
    </w:p>
    <w:p w14:paraId="6F9A38BB" w14:textId="77777777" w:rsidR="0001640C" w:rsidRDefault="0001640C">
      <w:pPr>
        <w:jc w:val="both"/>
        <w:rPr>
          <w:rFonts w:ascii="Times New Roman" w:eastAsia="Times New Roman" w:hAnsi="Times New Roman" w:cs="Times New Roman"/>
        </w:rPr>
      </w:pPr>
    </w:p>
    <w:p w14:paraId="0A7F62EF" w14:textId="77777777" w:rsidR="0001640C" w:rsidRDefault="0001640C">
      <w:pPr>
        <w:jc w:val="both"/>
        <w:rPr>
          <w:rFonts w:ascii="Times New Roman" w:eastAsia="Times New Roman" w:hAnsi="Times New Roman" w:cs="Times New Roman"/>
        </w:rPr>
      </w:pPr>
    </w:p>
    <w:p w14:paraId="54032E2F" w14:textId="77777777" w:rsidR="0001640C" w:rsidRDefault="0001640C">
      <w:pPr>
        <w:jc w:val="both"/>
        <w:rPr>
          <w:rFonts w:ascii="Times New Roman" w:eastAsia="Times New Roman" w:hAnsi="Times New Roman" w:cs="Times New Roman"/>
        </w:rPr>
      </w:pPr>
    </w:p>
    <w:p w14:paraId="190FA63B" w14:textId="77777777" w:rsidR="0001640C" w:rsidRDefault="004B4533">
      <w:pPr>
        <w:jc w:val="both"/>
        <w:rPr>
          <w:rFonts w:ascii="Times New Roman" w:eastAsia="Times New Roman" w:hAnsi="Times New Roman" w:cs="Times New Roman"/>
          <w:b/>
        </w:rPr>
      </w:pPr>
      <w:r>
        <w:rPr>
          <w:rFonts w:ascii="Times New Roman" w:eastAsia="Times New Roman" w:hAnsi="Times New Roman" w:cs="Times New Roman"/>
          <w:b/>
        </w:rPr>
        <w:t xml:space="preserve">    EMEL ROJAS CASTILLO</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rPr>
        <w:t>JUAN DANIEL OVIEDO ARANGO</w:t>
      </w:r>
    </w:p>
    <w:p w14:paraId="0868E128"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rPr>
        <w:t xml:space="preserve">         Concejal de Bogotá</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Concejal de Bogotá</w:t>
      </w:r>
    </w:p>
    <w:p w14:paraId="3A926617" w14:textId="22BF3348" w:rsidR="0001640C" w:rsidRDefault="004B4533">
      <w:pPr>
        <w:jc w:val="both"/>
        <w:rPr>
          <w:rFonts w:ascii="Times New Roman" w:eastAsia="Times New Roman" w:hAnsi="Times New Roman" w:cs="Times New Roman"/>
        </w:rPr>
      </w:pPr>
      <w:r>
        <w:rPr>
          <w:rFonts w:ascii="Times New Roman" w:eastAsia="Times New Roman" w:hAnsi="Times New Roman" w:cs="Times New Roman"/>
        </w:rPr>
        <w:t>Partido Nueva Fuerza Democrática</w:t>
      </w:r>
      <w:r>
        <w:rPr>
          <w:rFonts w:ascii="Times New Roman" w:eastAsia="Times New Roman" w:hAnsi="Times New Roman" w:cs="Times New Roman"/>
        </w:rPr>
        <w:tab/>
      </w:r>
      <w:r>
        <w:rPr>
          <w:rFonts w:ascii="Times New Roman" w:eastAsia="Times New Roman" w:hAnsi="Times New Roman" w:cs="Times New Roman"/>
        </w:rPr>
        <w:tab/>
        <w:t xml:space="preserve">             </w:t>
      </w:r>
      <w:r w:rsidR="001B37B8">
        <w:rPr>
          <w:rFonts w:ascii="Times New Roman" w:eastAsia="Times New Roman" w:hAnsi="Times New Roman" w:cs="Times New Roman"/>
        </w:rPr>
        <w:t>Movimiento con</w:t>
      </w:r>
      <w:r>
        <w:rPr>
          <w:rFonts w:ascii="Times New Roman" w:eastAsia="Times New Roman" w:hAnsi="Times New Roman" w:cs="Times New Roman"/>
        </w:rPr>
        <w:t xml:space="preserve"> Toda por Bogotá </w:t>
      </w:r>
    </w:p>
    <w:p w14:paraId="1D6360CA" w14:textId="77777777" w:rsidR="0001640C" w:rsidRDefault="0001640C">
      <w:pPr>
        <w:jc w:val="both"/>
        <w:rPr>
          <w:rFonts w:ascii="Times New Roman" w:eastAsia="Times New Roman" w:hAnsi="Times New Roman" w:cs="Times New Roman"/>
        </w:rPr>
      </w:pPr>
    </w:p>
    <w:p w14:paraId="6BB62D0F" w14:textId="10FA618E" w:rsidR="0001640C" w:rsidRDefault="0001640C">
      <w:pPr>
        <w:rPr>
          <w:rFonts w:ascii="Times New Roman" w:eastAsia="Times New Roman" w:hAnsi="Times New Roman" w:cs="Times New Roman"/>
        </w:rPr>
      </w:pPr>
    </w:p>
    <w:p w14:paraId="707D3AC2" w14:textId="77777777" w:rsidR="004B4533" w:rsidRDefault="004B4533">
      <w:pPr>
        <w:rPr>
          <w:rFonts w:ascii="Times New Roman" w:eastAsia="Times New Roman" w:hAnsi="Times New Roman" w:cs="Times New Roman"/>
        </w:rPr>
      </w:pPr>
    </w:p>
    <w:p w14:paraId="46EB84B8" w14:textId="320A1650" w:rsidR="0001640C" w:rsidRDefault="0001640C">
      <w:pPr>
        <w:rPr>
          <w:rFonts w:ascii="Times New Roman" w:eastAsia="Times New Roman" w:hAnsi="Times New Roman" w:cs="Times New Roman"/>
        </w:rPr>
      </w:pPr>
    </w:p>
    <w:p w14:paraId="544F72D1" w14:textId="77777777" w:rsidR="0001640C" w:rsidRDefault="0001640C">
      <w:pPr>
        <w:rPr>
          <w:rFonts w:ascii="Times New Roman" w:eastAsia="Times New Roman" w:hAnsi="Times New Roman" w:cs="Times New Roman"/>
        </w:rPr>
      </w:pPr>
    </w:p>
    <w:p w14:paraId="06F48BF4" w14:textId="77777777" w:rsidR="0001640C" w:rsidRDefault="004B4533">
      <w:pPr>
        <w:rPr>
          <w:rFonts w:ascii="Times New Roman" w:eastAsia="Times New Roman" w:hAnsi="Times New Roman" w:cs="Times New Roman"/>
          <w:b/>
        </w:rPr>
      </w:pPr>
      <w:r>
        <w:rPr>
          <w:rFonts w:ascii="Times New Roman" w:eastAsia="Times New Roman" w:hAnsi="Times New Roman" w:cs="Times New Roman"/>
          <w:b/>
        </w:rPr>
        <w:t>ARMANDO GUTIÉRREZ GONZÁLEZ            SAMIR JOSÉ ABISAMBRA VESGA</w:t>
      </w:r>
    </w:p>
    <w:p w14:paraId="6EA9C2D0"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Concejal de Bogotá                                                        Concejal de Bogotá</w:t>
      </w:r>
    </w:p>
    <w:p w14:paraId="01A3A817" w14:textId="77777777" w:rsidR="0001640C" w:rsidRDefault="004B4533">
      <w:pPr>
        <w:rPr>
          <w:rFonts w:ascii="Times New Roman" w:eastAsia="Times New Roman" w:hAnsi="Times New Roman" w:cs="Times New Roman"/>
        </w:rPr>
      </w:pPr>
      <w:r>
        <w:rPr>
          <w:rFonts w:ascii="Times New Roman" w:eastAsia="Times New Roman" w:hAnsi="Times New Roman" w:cs="Times New Roman"/>
        </w:rPr>
        <w:t xml:space="preserve">              Partido Liberal                                                               Partido Liberal</w:t>
      </w:r>
    </w:p>
    <w:p w14:paraId="7E743DDD" w14:textId="77777777" w:rsidR="0001640C" w:rsidRDefault="0001640C">
      <w:pPr>
        <w:jc w:val="both"/>
      </w:pPr>
    </w:p>
    <w:p w14:paraId="4C763A60" w14:textId="77777777" w:rsidR="0001640C" w:rsidRDefault="0001640C">
      <w:pPr>
        <w:jc w:val="both"/>
      </w:pPr>
    </w:p>
    <w:p w14:paraId="6EAA5A40" w14:textId="77777777" w:rsidR="0001640C" w:rsidRDefault="0001640C">
      <w:pPr>
        <w:jc w:val="both"/>
      </w:pPr>
    </w:p>
    <w:p w14:paraId="1855403D" w14:textId="77777777" w:rsidR="0001640C" w:rsidRDefault="0001640C">
      <w:pPr>
        <w:jc w:val="both"/>
      </w:pPr>
    </w:p>
    <w:p w14:paraId="198E28B9" w14:textId="77777777" w:rsidR="0001640C" w:rsidRDefault="0001640C">
      <w:pPr>
        <w:jc w:val="both"/>
      </w:pPr>
    </w:p>
    <w:p w14:paraId="7DBCFC66" w14:textId="77777777" w:rsidR="0001640C" w:rsidRDefault="0001640C">
      <w:pPr>
        <w:jc w:val="both"/>
      </w:pPr>
    </w:p>
    <w:p w14:paraId="562BC1ED" w14:textId="77777777" w:rsidR="0001640C" w:rsidRDefault="0001640C">
      <w:pPr>
        <w:jc w:val="both"/>
      </w:pPr>
    </w:p>
    <w:p w14:paraId="67BB7816" w14:textId="77777777" w:rsidR="0001640C" w:rsidRDefault="0001640C">
      <w:pPr>
        <w:jc w:val="both"/>
      </w:pPr>
    </w:p>
    <w:p w14:paraId="1DFADFC7" w14:textId="77777777" w:rsidR="0001640C" w:rsidRDefault="0001640C">
      <w:pPr>
        <w:jc w:val="both"/>
      </w:pPr>
    </w:p>
    <w:p w14:paraId="3C678B77" w14:textId="0F440AD5" w:rsidR="0001640C" w:rsidRDefault="0001640C">
      <w:pPr>
        <w:jc w:val="both"/>
      </w:pPr>
    </w:p>
    <w:p w14:paraId="406045A6" w14:textId="485CDAF4" w:rsidR="004B4533" w:rsidRDefault="004B4533">
      <w:pPr>
        <w:jc w:val="both"/>
      </w:pPr>
    </w:p>
    <w:p w14:paraId="2D48A0D4" w14:textId="564EA4DA" w:rsidR="004B4533" w:rsidRDefault="004B4533">
      <w:pPr>
        <w:jc w:val="both"/>
      </w:pPr>
    </w:p>
    <w:p w14:paraId="2217361C" w14:textId="6F838DC3" w:rsidR="004B4533" w:rsidRDefault="004B4533">
      <w:pPr>
        <w:jc w:val="both"/>
      </w:pPr>
    </w:p>
    <w:p w14:paraId="24E25785" w14:textId="77777777" w:rsidR="004B4533" w:rsidRDefault="004B4533">
      <w:pPr>
        <w:jc w:val="both"/>
      </w:pPr>
    </w:p>
    <w:p w14:paraId="51C7FDD6" w14:textId="77777777" w:rsidR="0001640C" w:rsidRDefault="0001640C">
      <w:pPr>
        <w:jc w:val="both"/>
      </w:pPr>
    </w:p>
    <w:p w14:paraId="0061E658" w14:textId="77777777" w:rsidR="0001640C" w:rsidRDefault="004B4533">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rPr>
        <w:t>BIBLIOGRAFÍA</w:t>
      </w:r>
    </w:p>
    <w:p w14:paraId="46CE6B27" w14:textId="77777777" w:rsidR="0001640C" w:rsidRDefault="0001640C"/>
    <w:p w14:paraId="06A018F5" w14:textId="0C47BCCB" w:rsidR="0001640C" w:rsidRDefault="004B4533" w:rsidP="0057602A">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Banco de la República. (s.f.). </w:t>
      </w:r>
      <w:r>
        <w:rPr>
          <w:rFonts w:ascii="Times New Roman" w:eastAsia="Times New Roman" w:hAnsi="Times New Roman" w:cs="Times New Roman"/>
          <w:i/>
        </w:rPr>
        <w:t>Policarpa Salavarrieta.</w:t>
      </w:r>
      <w:r>
        <w:rPr>
          <w:rFonts w:ascii="Times New Roman" w:eastAsia="Times New Roman" w:hAnsi="Times New Roman" w:cs="Times New Roman"/>
        </w:rPr>
        <w:t xml:space="preserve"> </w:t>
      </w:r>
      <w:hyperlink r:id="rId32">
        <w:r>
          <w:rPr>
            <w:rFonts w:ascii="Times New Roman" w:eastAsia="Times New Roman" w:hAnsi="Times New Roman" w:cs="Times New Roman"/>
            <w:u w:val="single"/>
          </w:rPr>
          <w:t>https://enciclopedia.banrepcultural.org/index.php/Policarpa_Salavarrieta</w:t>
        </w:r>
      </w:hyperlink>
      <w:r>
        <w:rPr>
          <w:rFonts w:ascii="Times New Roman" w:eastAsia="Times New Roman" w:hAnsi="Times New Roman" w:cs="Times New Roman"/>
        </w:rPr>
        <w:t>.</w:t>
      </w:r>
    </w:p>
    <w:p w14:paraId="3D810680" w14:textId="77777777" w:rsidR="0057602A" w:rsidRDefault="0057602A">
      <w:pPr>
        <w:ind w:left="340" w:hanging="340"/>
        <w:jc w:val="both"/>
        <w:rPr>
          <w:rFonts w:ascii="Times New Roman" w:eastAsia="Times New Roman" w:hAnsi="Times New Roman" w:cs="Times New Roman"/>
        </w:rPr>
      </w:pPr>
    </w:p>
    <w:p w14:paraId="46EA190A" w14:textId="372264C7" w:rsidR="0001640C" w:rsidRDefault="004B4533">
      <w:pPr>
        <w:ind w:left="340" w:hanging="340"/>
        <w:jc w:val="both"/>
        <w:rPr>
          <w:rFonts w:ascii="Times New Roman" w:eastAsia="Times New Roman" w:hAnsi="Times New Roman" w:cs="Times New Roman"/>
          <w:sz w:val="28"/>
          <w:szCs w:val="28"/>
        </w:rPr>
      </w:pPr>
      <w:r>
        <w:rPr>
          <w:rFonts w:ascii="Times New Roman" w:eastAsia="Times New Roman" w:hAnsi="Times New Roman" w:cs="Times New Roman"/>
        </w:rPr>
        <w:t xml:space="preserve">Barahona, J. y Cobos, L. (2022). </w:t>
      </w:r>
      <w:r>
        <w:rPr>
          <w:rFonts w:ascii="Times New Roman" w:eastAsia="Times New Roman" w:hAnsi="Times New Roman" w:cs="Times New Roman"/>
          <w:i/>
        </w:rPr>
        <w:t>Plaza de mercado la Perseverancia: gestión y preservación de la memoria colectiva</w:t>
      </w:r>
      <w:r>
        <w:rPr>
          <w:rFonts w:ascii="Times New Roman" w:eastAsia="Times New Roman" w:hAnsi="Times New Roman" w:cs="Times New Roman"/>
        </w:rPr>
        <w:t xml:space="preserve"> [Trabajo de grado]. Pontificia Universidad Javeriana. https://repository.javeriana.edu.co/bitstream/handle/10554/61008/Trabajo%20de%20Grado%20J.%20Barahona%2c%20L.%20Cobos.pdf?sequence=1&amp;isAllowed=y</w:t>
      </w:r>
    </w:p>
    <w:p w14:paraId="1DCF6AA7" w14:textId="77777777" w:rsidR="0001640C" w:rsidRDefault="0001640C">
      <w:pPr>
        <w:ind w:left="340" w:hanging="340"/>
      </w:pPr>
    </w:p>
    <w:p w14:paraId="393B503A"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Blanco </w:t>
      </w:r>
      <w:proofErr w:type="spellStart"/>
      <w:r>
        <w:rPr>
          <w:rFonts w:ascii="Times New Roman" w:eastAsia="Times New Roman" w:hAnsi="Times New Roman" w:cs="Times New Roman"/>
        </w:rPr>
        <w:t>Blanco</w:t>
      </w:r>
      <w:proofErr w:type="spellEnd"/>
      <w:r>
        <w:rPr>
          <w:rFonts w:ascii="Times New Roman" w:eastAsia="Times New Roman" w:hAnsi="Times New Roman" w:cs="Times New Roman"/>
        </w:rPr>
        <w:t xml:space="preserve">, J. y Cárdenas Poveda, M. (2009). Las mujeres en la historia de Colombia, sus derechos, sus deberes. </w:t>
      </w:r>
      <w:r>
        <w:rPr>
          <w:rFonts w:ascii="Times New Roman" w:eastAsia="Times New Roman" w:hAnsi="Times New Roman" w:cs="Times New Roman"/>
          <w:i/>
        </w:rPr>
        <w:t>Prolegómenos</w:t>
      </w:r>
      <w:r>
        <w:rPr>
          <w:rFonts w:ascii="Times New Roman" w:eastAsia="Times New Roman" w:hAnsi="Times New Roman" w:cs="Times New Roman"/>
        </w:rPr>
        <w:t xml:space="preserve">, </w:t>
      </w:r>
      <w:r>
        <w:rPr>
          <w:rFonts w:ascii="Times New Roman" w:eastAsia="Times New Roman" w:hAnsi="Times New Roman" w:cs="Times New Roman"/>
          <w:i/>
        </w:rPr>
        <w:t>12</w:t>
      </w:r>
      <w:r>
        <w:rPr>
          <w:rFonts w:ascii="Times New Roman" w:eastAsia="Times New Roman" w:hAnsi="Times New Roman" w:cs="Times New Roman"/>
        </w:rPr>
        <w:t xml:space="preserve">(23), 143–158. </w:t>
      </w:r>
      <w:hyperlink r:id="rId33">
        <w:r>
          <w:rPr>
            <w:rFonts w:ascii="Times New Roman" w:eastAsia="Times New Roman" w:hAnsi="Times New Roman" w:cs="Times New Roman"/>
            <w:u w:val="single"/>
          </w:rPr>
          <w:t>https://doi.org/10.18359/prole.2501</w:t>
        </w:r>
      </w:hyperlink>
      <w:r>
        <w:rPr>
          <w:rFonts w:ascii="Times New Roman" w:eastAsia="Times New Roman" w:hAnsi="Times New Roman" w:cs="Times New Roman"/>
        </w:rPr>
        <w:t>. </w:t>
      </w:r>
    </w:p>
    <w:p w14:paraId="33818674" w14:textId="77777777" w:rsidR="0001640C" w:rsidRDefault="0001640C">
      <w:pPr>
        <w:ind w:left="340" w:hanging="340"/>
      </w:pPr>
    </w:p>
    <w:p w14:paraId="0B0FF1A0"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El Tiempo. (28 de mayo de 2010). Policarpa Salavarrieta. </w:t>
      </w:r>
      <w:r>
        <w:rPr>
          <w:rFonts w:ascii="Times New Roman" w:eastAsia="Times New Roman" w:hAnsi="Times New Roman" w:cs="Times New Roman"/>
          <w:i/>
        </w:rPr>
        <w:t>El Tiempo</w:t>
      </w:r>
      <w:r>
        <w:rPr>
          <w:rFonts w:ascii="Times New Roman" w:eastAsia="Times New Roman" w:hAnsi="Times New Roman" w:cs="Times New Roman"/>
        </w:rPr>
        <w:t xml:space="preserve">. </w:t>
      </w:r>
      <w:hyperlink r:id="rId34">
        <w:r>
          <w:rPr>
            <w:rFonts w:ascii="Times New Roman" w:eastAsia="Times New Roman" w:hAnsi="Times New Roman" w:cs="Times New Roman"/>
            <w:u w:val="single"/>
          </w:rPr>
          <w:t>http://www.eltiempo.com/archivo/documento/MAM-3899882</w:t>
        </w:r>
      </w:hyperlink>
      <w:r>
        <w:rPr>
          <w:rFonts w:ascii="Times New Roman" w:eastAsia="Times New Roman" w:hAnsi="Times New Roman" w:cs="Times New Roman"/>
        </w:rPr>
        <w:t>.</w:t>
      </w:r>
    </w:p>
    <w:p w14:paraId="7DB546A9" w14:textId="77777777" w:rsidR="0001640C" w:rsidRDefault="0001640C">
      <w:pPr>
        <w:ind w:left="340" w:hanging="340"/>
      </w:pPr>
    </w:p>
    <w:p w14:paraId="2E64C2CC"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Forero, P. E. (1972). </w:t>
      </w:r>
      <w:r>
        <w:rPr>
          <w:rFonts w:ascii="Times New Roman" w:eastAsia="Times New Roman" w:hAnsi="Times New Roman" w:cs="Times New Roman"/>
          <w:i/>
        </w:rPr>
        <w:t>Las heroínas olvidadas de la independencia</w:t>
      </w:r>
      <w:r>
        <w:rPr>
          <w:rFonts w:ascii="Times New Roman" w:eastAsia="Times New Roman" w:hAnsi="Times New Roman" w:cs="Times New Roman"/>
        </w:rPr>
        <w:t xml:space="preserve"> (1.ª ed.). </w:t>
      </w:r>
    </w:p>
    <w:p w14:paraId="6A91DA42" w14:textId="77777777" w:rsidR="0001640C" w:rsidRDefault="0001640C">
      <w:pPr>
        <w:ind w:left="340" w:hanging="340"/>
      </w:pPr>
    </w:p>
    <w:p w14:paraId="786F011F"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Machado Pardo, L. (2018). El papel de la mujer en la independencia colombiana. </w:t>
      </w:r>
      <w:r>
        <w:rPr>
          <w:rFonts w:ascii="Times New Roman" w:eastAsia="Times New Roman" w:hAnsi="Times New Roman" w:cs="Times New Roman"/>
          <w:i/>
        </w:rPr>
        <w:t>Cultura </w:t>
      </w:r>
    </w:p>
    <w:p w14:paraId="558AF8B9"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i/>
        </w:rPr>
        <w:t>Latinoamericana</w:t>
      </w:r>
      <w:r>
        <w:rPr>
          <w:rFonts w:ascii="Times New Roman" w:eastAsia="Times New Roman" w:hAnsi="Times New Roman" w:cs="Times New Roman"/>
        </w:rPr>
        <w:t xml:space="preserve">, </w:t>
      </w:r>
      <w:r>
        <w:rPr>
          <w:rFonts w:ascii="Times New Roman" w:eastAsia="Times New Roman" w:hAnsi="Times New Roman" w:cs="Times New Roman"/>
          <w:i/>
        </w:rPr>
        <w:t>27</w:t>
      </w:r>
      <w:r>
        <w:rPr>
          <w:rFonts w:ascii="Times New Roman" w:eastAsia="Times New Roman" w:hAnsi="Times New Roman" w:cs="Times New Roman"/>
        </w:rPr>
        <w:t xml:space="preserve">(1), 74–98. </w:t>
      </w:r>
      <w:hyperlink r:id="rId35">
        <w:r>
          <w:rPr>
            <w:rFonts w:ascii="Times New Roman" w:eastAsia="Times New Roman" w:hAnsi="Times New Roman" w:cs="Times New Roman"/>
            <w:u w:val="single"/>
          </w:rPr>
          <w:t>https://doi.org/10.14718/CulturaLatinoam.2018.27.1.4</w:t>
        </w:r>
      </w:hyperlink>
      <w:r>
        <w:rPr>
          <w:rFonts w:ascii="Times New Roman" w:eastAsia="Times New Roman" w:hAnsi="Times New Roman" w:cs="Times New Roman"/>
        </w:rPr>
        <w:t>. </w:t>
      </w:r>
    </w:p>
    <w:p w14:paraId="4F74B1CA" w14:textId="77777777" w:rsidR="0001640C" w:rsidRDefault="0001640C">
      <w:pPr>
        <w:ind w:left="340" w:hanging="340"/>
      </w:pPr>
    </w:p>
    <w:p w14:paraId="4AD57164" w14:textId="77777777" w:rsidR="0001640C" w:rsidRDefault="004B4533">
      <w:pPr>
        <w:pBdr>
          <w:top w:val="nil"/>
          <w:left w:val="nil"/>
          <w:bottom w:val="nil"/>
          <w:right w:val="nil"/>
          <w:between w:val="nil"/>
        </w:pBdr>
        <w:ind w:left="340" w:hanging="340"/>
        <w:jc w:val="both"/>
        <w:rPr>
          <w:rFonts w:ascii="Times New Roman" w:eastAsia="Times New Roman" w:hAnsi="Times New Roman" w:cs="Times New Roman"/>
        </w:rPr>
      </w:pPr>
      <w:r>
        <w:rPr>
          <w:rFonts w:ascii="Times New Roman" w:eastAsia="Times New Roman" w:hAnsi="Times New Roman" w:cs="Times New Roman"/>
        </w:rPr>
        <w:t xml:space="preserve">Mujeres bacanas. (15 de septiembre de 2017). </w:t>
      </w:r>
      <w:r>
        <w:rPr>
          <w:rFonts w:ascii="Times New Roman" w:eastAsia="Times New Roman" w:hAnsi="Times New Roman" w:cs="Times New Roman"/>
          <w:i/>
        </w:rPr>
        <w:t>Policarpa Salavarrieta (1795-1817)</w:t>
      </w:r>
      <w:r>
        <w:rPr>
          <w:rFonts w:ascii="Times New Roman" w:eastAsia="Times New Roman" w:hAnsi="Times New Roman" w:cs="Times New Roman"/>
        </w:rPr>
        <w:t xml:space="preserve">.  </w:t>
      </w:r>
      <w:hyperlink r:id="rId36">
        <w:r>
          <w:rPr>
            <w:rFonts w:ascii="Times New Roman" w:eastAsia="Times New Roman" w:hAnsi="Times New Roman" w:cs="Times New Roman"/>
            <w:u w:val="single"/>
          </w:rPr>
          <w:t>https://mujeresbacanas.com/policarpa-salavarrieta/</w:t>
        </w:r>
      </w:hyperlink>
      <w:r>
        <w:rPr>
          <w:rFonts w:ascii="Times New Roman" w:eastAsia="Times New Roman" w:hAnsi="Times New Roman" w:cs="Times New Roman"/>
        </w:rPr>
        <w:t>. </w:t>
      </w:r>
    </w:p>
    <w:p w14:paraId="04297DFF" w14:textId="77777777" w:rsidR="0057602A" w:rsidRDefault="0057602A">
      <w:pPr>
        <w:ind w:left="340" w:hanging="340"/>
        <w:rPr>
          <w:rFonts w:ascii="Times New Roman" w:hAnsi="Times New Roman" w:cs="Times New Roman"/>
        </w:rPr>
      </w:pPr>
    </w:p>
    <w:p w14:paraId="796BEF74" w14:textId="42A50395" w:rsidR="0001640C" w:rsidRDefault="0057602A" w:rsidP="00CA56C3">
      <w:pPr>
        <w:ind w:left="340" w:hanging="340"/>
        <w:jc w:val="both"/>
        <w:rPr>
          <w:rFonts w:ascii="Times New Roman" w:hAnsi="Times New Roman" w:cs="Times New Roman"/>
          <w:i/>
          <w:iCs/>
        </w:rPr>
      </w:pPr>
      <w:r w:rsidRPr="0057602A">
        <w:rPr>
          <w:rFonts w:ascii="Times New Roman" w:hAnsi="Times New Roman" w:cs="Times New Roman"/>
        </w:rPr>
        <w:t xml:space="preserve">Secretaría de Cultura, Recreación y Deporte (2025). </w:t>
      </w:r>
      <w:r w:rsidRPr="0057602A">
        <w:rPr>
          <w:rFonts w:ascii="Times New Roman" w:hAnsi="Times New Roman" w:cs="Times New Roman"/>
          <w:i/>
          <w:iCs/>
        </w:rPr>
        <w:t>Respuesta al derecho de petición con radicado del Concejo de Bogotá no. 2025EE6747, radicado de la SCRD No: 20257100075872 de fecha 07/04/2025.</w:t>
      </w:r>
    </w:p>
    <w:p w14:paraId="3DF5EA47" w14:textId="77777777" w:rsidR="0057602A" w:rsidRPr="0057602A" w:rsidRDefault="0057602A">
      <w:pPr>
        <w:ind w:left="340" w:hanging="340"/>
        <w:rPr>
          <w:rFonts w:ascii="Times New Roman" w:hAnsi="Times New Roman" w:cs="Times New Roman"/>
        </w:rPr>
      </w:pPr>
    </w:p>
    <w:p w14:paraId="3CCE2516" w14:textId="77777777" w:rsidR="0001640C" w:rsidRDefault="004B4533">
      <w:pPr>
        <w:pBdr>
          <w:top w:val="nil"/>
          <w:left w:val="nil"/>
          <w:bottom w:val="nil"/>
          <w:right w:val="nil"/>
          <w:between w:val="nil"/>
        </w:pBdr>
        <w:ind w:left="340" w:hanging="340"/>
        <w:jc w:val="both"/>
      </w:pPr>
      <w:r>
        <w:rPr>
          <w:rFonts w:ascii="Times New Roman" w:eastAsia="Times New Roman" w:hAnsi="Times New Roman" w:cs="Times New Roman"/>
        </w:rPr>
        <w:t xml:space="preserve">Universidad EAFIT. (s.f.). </w:t>
      </w:r>
      <w:r>
        <w:rPr>
          <w:rFonts w:ascii="Times New Roman" w:eastAsia="Times New Roman" w:hAnsi="Times New Roman" w:cs="Times New Roman"/>
          <w:i/>
        </w:rPr>
        <w:t>Policarpa Salavarrieta.</w:t>
      </w:r>
      <w:r>
        <w:rPr>
          <w:rFonts w:ascii="Times New Roman" w:eastAsia="Times New Roman" w:hAnsi="Times New Roman" w:cs="Times New Roman"/>
        </w:rPr>
        <w:t xml:space="preserve"> </w:t>
      </w:r>
      <w:hyperlink r:id="rId37">
        <w:r>
          <w:rPr>
            <w:rFonts w:ascii="Times New Roman" w:eastAsia="Times New Roman" w:hAnsi="Times New Roman" w:cs="Times New Roman"/>
            <w:u w:val="single"/>
          </w:rPr>
          <w:t>https://www.eafit.edu.co/bicentenario/Paginas/policarpa-salavarrieta.aspx</w:t>
        </w:r>
      </w:hyperlink>
    </w:p>
    <w:p w14:paraId="4B717EB4" w14:textId="77777777" w:rsidR="0001640C" w:rsidRDefault="0001640C">
      <w:pPr>
        <w:pBdr>
          <w:top w:val="nil"/>
          <w:left w:val="nil"/>
          <w:bottom w:val="nil"/>
          <w:right w:val="nil"/>
          <w:between w:val="nil"/>
        </w:pBdr>
        <w:ind w:left="340" w:hanging="340"/>
        <w:jc w:val="both"/>
        <w:rPr>
          <w:rFonts w:ascii="Times New Roman" w:eastAsia="Times New Roman" w:hAnsi="Times New Roman" w:cs="Times New Roman"/>
        </w:rPr>
      </w:pPr>
    </w:p>
    <w:p w14:paraId="5C16A4B1" w14:textId="77777777" w:rsidR="0001640C" w:rsidRDefault="0001640C">
      <w:pPr>
        <w:pBdr>
          <w:top w:val="nil"/>
          <w:left w:val="nil"/>
          <w:bottom w:val="nil"/>
          <w:right w:val="nil"/>
          <w:between w:val="nil"/>
        </w:pBdr>
        <w:ind w:left="340" w:hanging="340"/>
        <w:jc w:val="both"/>
        <w:rPr>
          <w:rFonts w:ascii="Times New Roman" w:eastAsia="Times New Roman" w:hAnsi="Times New Roman" w:cs="Times New Roman"/>
        </w:rPr>
      </w:pPr>
    </w:p>
    <w:p w14:paraId="6BB90A51" w14:textId="77777777" w:rsidR="0001640C" w:rsidRDefault="0001640C">
      <w:pPr>
        <w:pBdr>
          <w:top w:val="nil"/>
          <w:left w:val="nil"/>
          <w:bottom w:val="nil"/>
          <w:right w:val="nil"/>
          <w:between w:val="nil"/>
        </w:pBdr>
        <w:ind w:left="340" w:hanging="340"/>
        <w:jc w:val="both"/>
        <w:rPr>
          <w:rFonts w:ascii="Times New Roman" w:eastAsia="Times New Roman" w:hAnsi="Times New Roman" w:cs="Times New Roman"/>
        </w:rPr>
      </w:pPr>
    </w:p>
    <w:p w14:paraId="34CDB478" w14:textId="77777777" w:rsidR="0001640C" w:rsidRDefault="0001640C">
      <w:pPr>
        <w:pBdr>
          <w:top w:val="nil"/>
          <w:left w:val="nil"/>
          <w:bottom w:val="nil"/>
          <w:right w:val="nil"/>
          <w:between w:val="nil"/>
        </w:pBdr>
        <w:ind w:left="340" w:hanging="340"/>
        <w:jc w:val="both"/>
        <w:rPr>
          <w:rFonts w:ascii="Times New Roman" w:eastAsia="Times New Roman" w:hAnsi="Times New Roman" w:cs="Times New Roman"/>
        </w:rPr>
      </w:pPr>
    </w:p>
    <w:p w14:paraId="529140C6" w14:textId="77777777" w:rsidR="0001640C" w:rsidRDefault="0001640C">
      <w:pPr>
        <w:pBdr>
          <w:top w:val="nil"/>
          <w:left w:val="nil"/>
          <w:bottom w:val="nil"/>
          <w:right w:val="nil"/>
          <w:between w:val="nil"/>
        </w:pBdr>
        <w:ind w:left="340" w:hanging="340"/>
        <w:jc w:val="both"/>
        <w:rPr>
          <w:rFonts w:ascii="Times New Roman" w:eastAsia="Times New Roman" w:hAnsi="Times New Roman" w:cs="Times New Roman"/>
        </w:rPr>
      </w:pPr>
    </w:p>
    <w:p w14:paraId="4DF24D7B" w14:textId="77777777" w:rsidR="0001640C" w:rsidRDefault="0001640C">
      <w:pPr>
        <w:ind w:left="340" w:hanging="340"/>
        <w:jc w:val="both"/>
        <w:rPr>
          <w:rFonts w:ascii="Times New Roman" w:eastAsia="Times New Roman" w:hAnsi="Times New Roman" w:cs="Times New Roman"/>
        </w:rPr>
      </w:pPr>
    </w:p>
    <w:p w14:paraId="63934198" w14:textId="77777777" w:rsidR="0001640C" w:rsidRDefault="004B4533">
      <w:pPr>
        <w:ind w:left="340" w:hanging="340"/>
        <w:jc w:val="both"/>
        <w:rPr>
          <w:rFonts w:ascii="Times New Roman" w:eastAsia="Times New Roman" w:hAnsi="Times New Roman" w:cs="Times New Roman"/>
          <w:b/>
        </w:rPr>
      </w:pPr>
      <w:r>
        <w:rPr>
          <w:rFonts w:ascii="Times New Roman" w:eastAsia="Times New Roman" w:hAnsi="Times New Roman" w:cs="Times New Roman"/>
          <w:b/>
        </w:rPr>
        <w:t>7. ARTICULADO</w:t>
      </w:r>
    </w:p>
    <w:p w14:paraId="23486339" w14:textId="77777777" w:rsidR="0001640C" w:rsidRDefault="0001640C">
      <w:pPr>
        <w:jc w:val="both"/>
      </w:pPr>
    </w:p>
    <w:p w14:paraId="2B1356FA" w14:textId="77777777" w:rsidR="0001640C" w:rsidRDefault="0001640C">
      <w:pPr>
        <w:jc w:val="both"/>
      </w:pPr>
    </w:p>
    <w:p w14:paraId="1FFC836C" w14:textId="77777777" w:rsidR="0001640C" w:rsidRDefault="004B4533">
      <w:pPr>
        <w:jc w:val="center"/>
        <w:rPr>
          <w:rFonts w:ascii="Times New Roman" w:eastAsia="Times New Roman" w:hAnsi="Times New Roman" w:cs="Times New Roman"/>
          <w:b/>
        </w:rPr>
      </w:pPr>
      <w:r>
        <w:rPr>
          <w:rFonts w:ascii="Times New Roman" w:eastAsia="Times New Roman" w:hAnsi="Times New Roman" w:cs="Times New Roman"/>
          <w:b/>
        </w:rPr>
        <w:t>PROYECTO DE ACUERDO No. ______ DE 2025</w:t>
      </w:r>
    </w:p>
    <w:p w14:paraId="354A8E77" w14:textId="77777777" w:rsidR="0001640C" w:rsidRDefault="0001640C">
      <w:pPr>
        <w:jc w:val="center"/>
        <w:rPr>
          <w:rFonts w:ascii="Times New Roman" w:eastAsia="Times New Roman" w:hAnsi="Times New Roman" w:cs="Times New Roman"/>
          <w:b/>
        </w:rPr>
      </w:pPr>
    </w:p>
    <w:p w14:paraId="58240E7C" w14:textId="78F52CB9" w:rsidR="0001640C" w:rsidRDefault="004B4533" w:rsidP="00CA56C3">
      <w:pPr>
        <w:jc w:val="center"/>
        <w:rPr>
          <w:rFonts w:ascii="Times New Roman" w:eastAsia="Times New Roman" w:hAnsi="Times New Roman" w:cs="Times New Roman"/>
          <w:b/>
        </w:rPr>
      </w:pPr>
      <w:r>
        <w:rPr>
          <w:rFonts w:ascii="Times New Roman" w:eastAsia="Times New Roman" w:hAnsi="Times New Roman" w:cs="Times New Roman"/>
          <w:b/>
        </w:rPr>
        <w:t xml:space="preserve">“POR EL CUAL SE RINDE HOMENAJE EN EL CONCEJO DE BOGOTÁ A LA HEROÍNA COLOMBIANA POLICARPA SALAVARRIETA RÍOS </w:t>
      </w:r>
      <w:r>
        <w:rPr>
          <w:rFonts w:ascii="Times New Roman" w:eastAsia="Times New Roman" w:hAnsi="Times New Roman" w:cs="Times New Roman"/>
          <w:b/>
          <w:i/>
        </w:rPr>
        <w:t>“LA POLA”</w:t>
      </w:r>
      <w:r>
        <w:rPr>
          <w:rFonts w:ascii="Times New Roman" w:eastAsia="Times New Roman" w:hAnsi="Times New Roman" w:cs="Times New Roman"/>
          <w:b/>
        </w:rPr>
        <w:t>, QUIEN CUMPLIÓ UN PAPEL DESTACADO EN DISTINTOS PROCESOS HISTÓRICOS DE COLOMBIA Y DE LA CIUDAD DE BOGOTÁ D.C.”</w:t>
      </w:r>
    </w:p>
    <w:p w14:paraId="53AC7FA1" w14:textId="77777777" w:rsidR="00CD63F9" w:rsidRDefault="00CD63F9" w:rsidP="00CD63F9">
      <w:pPr>
        <w:jc w:val="center"/>
        <w:rPr>
          <w:rFonts w:ascii="Times New Roman" w:eastAsia="Times New Roman" w:hAnsi="Times New Roman" w:cs="Times New Roman"/>
          <w:b/>
        </w:rPr>
      </w:pPr>
    </w:p>
    <w:p w14:paraId="7A4C9451" w14:textId="77777777" w:rsidR="0001640C" w:rsidRDefault="0001640C">
      <w:pPr>
        <w:jc w:val="both"/>
        <w:rPr>
          <w:rFonts w:ascii="Times New Roman" w:eastAsia="Times New Roman" w:hAnsi="Times New Roman" w:cs="Times New Roman"/>
        </w:rPr>
      </w:pPr>
    </w:p>
    <w:p w14:paraId="66E2EF7E" w14:textId="77777777" w:rsidR="0001640C" w:rsidRDefault="004B4533">
      <w:pPr>
        <w:jc w:val="center"/>
        <w:rPr>
          <w:rFonts w:ascii="Times New Roman" w:eastAsia="Times New Roman" w:hAnsi="Times New Roman" w:cs="Times New Roman"/>
        </w:rPr>
      </w:pPr>
      <w:r>
        <w:rPr>
          <w:rFonts w:ascii="Times New Roman" w:eastAsia="Times New Roman" w:hAnsi="Times New Roman" w:cs="Times New Roman"/>
        </w:rPr>
        <w:t>EL CONCEJO DE BOGOTÁ D.C.</w:t>
      </w:r>
    </w:p>
    <w:p w14:paraId="2B0AAF95" w14:textId="77777777" w:rsidR="0001640C" w:rsidRDefault="0001640C">
      <w:pPr>
        <w:jc w:val="both"/>
        <w:rPr>
          <w:rFonts w:ascii="Times New Roman" w:eastAsia="Times New Roman" w:hAnsi="Times New Roman" w:cs="Times New Roman"/>
        </w:rPr>
      </w:pPr>
    </w:p>
    <w:p w14:paraId="53FEB5CD" w14:textId="77777777" w:rsidR="0001640C" w:rsidRDefault="004B4533">
      <w:pPr>
        <w:jc w:val="center"/>
        <w:rPr>
          <w:rFonts w:ascii="Times New Roman" w:eastAsia="Times New Roman" w:hAnsi="Times New Roman" w:cs="Times New Roman"/>
        </w:rPr>
      </w:pPr>
      <w:r>
        <w:rPr>
          <w:rFonts w:ascii="Times New Roman" w:eastAsia="Times New Roman" w:hAnsi="Times New Roman" w:cs="Times New Roman"/>
        </w:rPr>
        <w:t>En el ejercicio de sus atribuciones constitucionales y legales, en especial las que le confieren los numerales 1 y 9 del artículo 313 de la Constitución Política, y los numerales 1, 13 y 23 del artículo 12 del Decreto Ley 1421 de 1993</w:t>
      </w:r>
    </w:p>
    <w:p w14:paraId="7F5D85E1" w14:textId="6E8C5AC8" w:rsidR="0001640C" w:rsidRPr="00CA56C3" w:rsidRDefault="004B4533">
      <w:pPr>
        <w:jc w:val="both"/>
        <w:rPr>
          <w:rFonts w:ascii="Times New Roman" w:eastAsia="Times New Roman" w:hAnsi="Times New Roman" w:cs="Times New Roman"/>
          <w:color w:val="FF0000"/>
        </w:rPr>
      </w:pPr>
      <w:r>
        <w:rPr>
          <w:rFonts w:ascii="Times New Roman" w:eastAsia="Times New Roman" w:hAnsi="Times New Roman" w:cs="Times New Roman"/>
          <w:color w:val="FF0000"/>
        </w:rPr>
        <w:t xml:space="preserve"> </w:t>
      </w:r>
    </w:p>
    <w:p w14:paraId="32564743" w14:textId="106E324C" w:rsidR="0001640C" w:rsidRDefault="004B4533" w:rsidP="00CA56C3">
      <w:pPr>
        <w:jc w:val="center"/>
        <w:rPr>
          <w:rFonts w:ascii="Times New Roman" w:eastAsia="Times New Roman" w:hAnsi="Times New Roman" w:cs="Times New Roman"/>
        </w:rPr>
      </w:pPr>
      <w:r>
        <w:rPr>
          <w:rFonts w:ascii="Times New Roman" w:eastAsia="Times New Roman" w:hAnsi="Times New Roman" w:cs="Times New Roman"/>
        </w:rPr>
        <w:t>ACUERDA:</w:t>
      </w:r>
    </w:p>
    <w:p w14:paraId="32F8A969" w14:textId="77777777" w:rsidR="0001640C" w:rsidRDefault="0001640C">
      <w:pPr>
        <w:jc w:val="both"/>
        <w:rPr>
          <w:rFonts w:ascii="Times New Roman" w:eastAsia="Times New Roman" w:hAnsi="Times New Roman" w:cs="Times New Roman"/>
        </w:rPr>
      </w:pPr>
    </w:p>
    <w:p w14:paraId="0887F358" w14:textId="77777777"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 xml:space="preserve">ARTÍCULO 1. </w:t>
      </w:r>
      <w:r>
        <w:rPr>
          <w:rFonts w:ascii="Times New Roman" w:eastAsia="Times New Roman" w:hAnsi="Times New Roman" w:cs="Times New Roman"/>
        </w:rPr>
        <w:t>El Concejo de Bogotá elaborará e instalará un busto dentro de las instalaciones de la Corporación. Esto como parte de la labor que se viene desarrollando dentro de la Corporación, en perspectiva de visibilizar la participación política plena y efectiva de las mujeres y la igualdad de oportunidades de liderazgo en todos los escenarios políticos, sociales y económicos tanto de la ciudad de Bogotá como de Colombia.</w:t>
      </w:r>
    </w:p>
    <w:p w14:paraId="628F3468" w14:textId="77777777" w:rsidR="0001640C" w:rsidRDefault="0001640C">
      <w:pPr>
        <w:jc w:val="both"/>
        <w:rPr>
          <w:rFonts w:ascii="Times New Roman" w:eastAsia="Times New Roman" w:hAnsi="Times New Roman" w:cs="Times New Roman"/>
        </w:rPr>
      </w:pPr>
    </w:p>
    <w:p w14:paraId="2ADA77E3" w14:textId="6BC2C5B8" w:rsidR="0001640C" w:rsidRDefault="004B4533">
      <w:pPr>
        <w:jc w:val="both"/>
        <w:rPr>
          <w:rFonts w:ascii="Times New Roman" w:eastAsia="Times New Roman" w:hAnsi="Times New Roman" w:cs="Times New Roman"/>
        </w:rPr>
      </w:pPr>
      <w:r>
        <w:rPr>
          <w:rFonts w:ascii="Times New Roman" w:eastAsia="Times New Roman" w:hAnsi="Times New Roman" w:cs="Times New Roman"/>
          <w:b/>
        </w:rPr>
        <w:t>ARTÍCULO 2.</w:t>
      </w:r>
      <w:r>
        <w:rPr>
          <w:rFonts w:ascii="Times New Roman" w:eastAsia="Times New Roman" w:hAnsi="Times New Roman" w:cs="Times New Roman"/>
        </w:rPr>
        <w:t xml:space="preserve"> El presente </w:t>
      </w:r>
      <w:r w:rsidR="00CA56C3">
        <w:rPr>
          <w:rFonts w:ascii="Times New Roman" w:eastAsia="Times New Roman" w:hAnsi="Times New Roman" w:cs="Times New Roman"/>
        </w:rPr>
        <w:t>A</w:t>
      </w:r>
      <w:r>
        <w:rPr>
          <w:rFonts w:ascii="Times New Roman" w:eastAsia="Times New Roman" w:hAnsi="Times New Roman" w:cs="Times New Roman"/>
        </w:rPr>
        <w:t xml:space="preserve">cuerdo rige a partir de la fecha de su publicación.  </w:t>
      </w:r>
    </w:p>
    <w:p w14:paraId="1A360DD8" w14:textId="77777777" w:rsidR="0001640C" w:rsidRDefault="0001640C">
      <w:pPr>
        <w:jc w:val="both"/>
      </w:pPr>
    </w:p>
    <w:p w14:paraId="26BDCACC" w14:textId="77777777" w:rsidR="0001640C" w:rsidRDefault="004B4533">
      <w:pPr>
        <w:spacing w:before="240" w:after="240"/>
        <w:jc w:val="center"/>
      </w:pPr>
      <w:r>
        <w:rPr>
          <w:rFonts w:ascii="Times New Roman" w:eastAsia="Times New Roman" w:hAnsi="Times New Roman" w:cs="Times New Roman"/>
          <w:b/>
        </w:rPr>
        <w:t>PUBLÍQUESE, COMUNÍQUESE Y CÚMPLASE</w:t>
      </w:r>
    </w:p>
    <w:sectPr w:rsidR="0001640C">
      <w:headerReference w:type="default" r:id="rId38"/>
      <w:footerReference w:type="even" r:id="rId39"/>
      <w:footerReference w:type="default" r:id="rId40"/>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E86C56" w14:textId="77777777" w:rsidR="00CA47F0" w:rsidRDefault="00CA47F0">
      <w:r>
        <w:separator/>
      </w:r>
    </w:p>
  </w:endnote>
  <w:endnote w:type="continuationSeparator" w:id="0">
    <w:p w14:paraId="1DB425B9" w14:textId="77777777" w:rsidR="00CA47F0" w:rsidRDefault="00CA4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embedRegular r:id="rId1" w:fontKey="{B160DC89-9D90-45F5-AAE5-6B5FD365C75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Bold r:id="rId2" w:fontKey="{CDAA3CB7-46EB-4141-A1D5-4C2550337C13}"/>
  </w:font>
  <w:font w:name="Cambria">
    <w:panose1 w:val="02040503050406030204"/>
    <w:charset w:val="00"/>
    <w:family w:val="roman"/>
    <w:pitch w:val="variable"/>
    <w:sig w:usb0="E00006FF" w:usb1="420024FF" w:usb2="02000000" w:usb3="00000000" w:csb0="0000019F" w:csb1="00000000"/>
    <w:embedRegular r:id="rId3" w:fontKey="{BB0E8C05-32C1-4A7D-8387-F5E52D0B940F}"/>
    <w:embedBold r:id="rId4" w:fontKey="{9812A162-7603-4732-A375-150558E41211}"/>
    <w:embedBoldItalic r:id="rId5" w:fontKey="{A3E118B8-6E1D-40CE-852F-BEA0DA9473F3}"/>
  </w:font>
  <w:font w:name="Tahoma">
    <w:panose1 w:val="020B0604030504040204"/>
    <w:charset w:val="00"/>
    <w:family w:val="swiss"/>
    <w:pitch w:val="variable"/>
    <w:sig w:usb0="E1002EFF" w:usb1="C000605B" w:usb2="00000029" w:usb3="00000000" w:csb0="000101FF" w:csb1="00000000"/>
    <w:embedRegular r:id="rId6" w:fontKey="{9599EC00-3F38-4B72-B376-F21C672CF4F3}"/>
  </w:font>
  <w:font w:name="Calibri">
    <w:panose1 w:val="020F0502020204030204"/>
    <w:charset w:val="00"/>
    <w:family w:val="swiss"/>
    <w:pitch w:val="variable"/>
    <w:sig w:usb0="E4002EFF" w:usb1="C000247B" w:usb2="00000009" w:usb3="00000000" w:csb0="000001FF" w:csb1="00000000"/>
    <w:embedRegular r:id="rId7" w:fontKey="{34005158-5361-4101-A5E0-945746CA1C37}"/>
  </w:font>
  <w:font w:name="Georgia">
    <w:panose1 w:val="02040502050405020303"/>
    <w:charset w:val="00"/>
    <w:family w:val="roman"/>
    <w:pitch w:val="variable"/>
    <w:sig w:usb0="00000287" w:usb1="00000000" w:usb2="00000000" w:usb3="00000000" w:csb0="0000009F" w:csb1="00000000"/>
    <w:embedRegular r:id="rId8" w:fontKey="{94C05616-9DB1-49EE-B6AE-C6EAA1A7BB2B}"/>
    <w:embedItalic r:id="rId9" w:fontKey="{2397B929-DE6D-4177-97C8-F13CA4C3E72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B71CB" w14:textId="77777777" w:rsidR="0001640C" w:rsidRDefault="004B4533">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57496AB6" w14:textId="77777777" w:rsidR="0001640C" w:rsidRDefault="0001640C">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21FA7" w14:textId="77777777" w:rsidR="0001640C" w:rsidRDefault="0001640C">
    <w:pPr>
      <w:pBdr>
        <w:top w:val="nil"/>
        <w:left w:val="nil"/>
        <w:bottom w:val="nil"/>
        <w:right w:val="nil"/>
        <w:between w:val="nil"/>
      </w:pBdr>
      <w:tabs>
        <w:tab w:val="center" w:pos="4252"/>
        <w:tab w:val="right" w:pos="8504"/>
      </w:tabs>
      <w:jc w:val="center"/>
      <w:rPr>
        <w:sz w:val="18"/>
        <w:szCs w:val="18"/>
      </w:rPr>
    </w:pPr>
  </w:p>
  <w:p w14:paraId="7AD53317" w14:textId="77777777" w:rsidR="0001640C" w:rsidRDefault="0001640C">
    <w:pPr>
      <w:pBdr>
        <w:top w:val="nil"/>
        <w:left w:val="nil"/>
        <w:bottom w:val="nil"/>
        <w:right w:val="nil"/>
        <w:between w:val="nil"/>
      </w:pBdr>
      <w:tabs>
        <w:tab w:val="center" w:pos="4252"/>
        <w:tab w:val="right" w:pos="8504"/>
      </w:tabs>
      <w:jc w:val="center"/>
      <w:rPr>
        <w:sz w:val="18"/>
        <w:szCs w:val="18"/>
      </w:rPr>
    </w:pPr>
  </w:p>
  <w:p w14:paraId="6015E8FF" w14:textId="77777777" w:rsidR="0001640C" w:rsidRDefault="0001640C">
    <w:pPr>
      <w:pBdr>
        <w:top w:val="nil"/>
        <w:left w:val="nil"/>
        <w:bottom w:val="nil"/>
        <w:right w:val="nil"/>
        <w:between w:val="nil"/>
      </w:pBdr>
      <w:tabs>
        <w:tab w:val="center" w:pos="4252"/>
        <w:tab w:val="right" w:pos="8504"/>
      </w:tabs>
      <w:jc w:val="center"/>
      <w:rPr>
        <w:sz w:val="16"/>
        <w:szCs w:val="16"/>
      </w:rPr>
    </w:pPr>
  </w:p>
  <w:p w14:paraId="43987134" w14:textId="77777777" w:rsidR="0001640C" w:rsidRDefault="0001640C">
    <w:pPr>
      <w:pBdr>
        <w:top w:val="nil"/>
        <w:left w:val="nil"/>
        <w:bottom w:val="nil"/>
        <w:right w:val="nil"/>
        <w:between w:val="nil"/>
      </w:pBdr>
      <w:tabs>
        <w:tab w:val="center" w:pos="4252"/>
        <w:tab w:val="right" w:pos="8504"/>
      </w:tabs>
      <w:rPr>
        <w:sz w:val="16"/>
        <w:szCs w:val="16"/>
      </w:rPr>
    </w:pPr>
  </w:p>
  <w:p w14:paraId="4A3BA750" w14:textId="77777777" w:rsidR="0001640C" w:rsidRDefault="0001640C">
    <w:pPr>
      <w:pBdr>
        <w:top w:val="nil"/>
        <w:left w:val="nil"/>
        <w:bottom w:val="nil"/>
        <w:right w:val="nil"/>
        <w:between w:val="nil"/>
      </w:pBdr>
      <w:tabs>
        <w:tab w:val="center" w:pos="4252"/>
        <w:tab w:val="right" w:pos="8504"/>
      </w:tabs>
      <w:rPr>
        <w:sz w:val="16"/>
        <w:szCs w:val="16"/>
      </w:rPr>
    </w:pPr>
  </w:p>
  <w:p w14:paraId="6D8E9694" w14:textId="77777777" w:rsidR="0001640C" w:rsidRDefault="0001640C">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3D6CD7" w14:textId="77777777" w:rsidR="00CA47F0" w:rsidRDefault="00CA47F0">
      <w:r>
        <w:separator/>
      </w:r>
    </w:p>
  </w:footnote>
  <w:footnote w:type="continuationSeparator" w:id="0">
    <w:p w14:paraId="1CFEB44C" w14:textId="77777777" w:rsidR="00CA47F0" w:rsidRDefault="00CA4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A82F0" w14:textId="77777777" w:rsidR="0001640C" w:rsidRDefault="0001640C">
    <w:pPr>
      <w:widowControl w:val="0"/>
      <w:pBdr>
        <w:top w:val="nil"/>
        <w:left w:val="nil"/>
        <w:bottom w:val="nil"/>
        <w:right w:val="nil"/>
        <w:between w:val="nil"/>
      </w:pBdr>
      <w:spacing w:line="276" w:lineRule="auto"/>
      <w:rPr>
        <w:sz w:val="18"/>
        <w:szCs w:val="18"/>
      </w:rPr>
    </w:pPr>
  </w:p>
  <w:tbl>
    <w:tblPr>
      <w:tblStyle w:val="a"/>
      <w:tblW w:w="8830" w:type="dxa"/>
      <w:tblInd w:w="0" w:type="dxa"/>
      <w:tblLayout w:type="fixed"/>
      <w:tblLook w:val="0000" w:firstRow="0" w:lastRow="0" w:firstColumn="0" w:lastColumn="0" w:noHBand="0" w:noVBand="0"/>
    </w:tblPr>
    <w:tblGrid>
      <w:gridCol w:w="2361"/>
      <w:gridCol w:w="4235"/>
      <w:gridCol w:w="2234"/>
    </w:tblGrid>
    <w:tr w:rsidR="0001640C" w14:paraId="08D89DA2"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0D3DDCCD" w14:textId="77777777" w:rsidR="0001640C" w:rsidRDefault="0001640C">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194C4D03" w14:textId="77777777" w:rsidR="0001640C" w:rsidRDefault="004B4533">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1F3329D5" w14:textId="77777777" w:rsidR="0001640C" w:rsidRDefault="004B4533">
          <w:pPr>
            <w:rPr>
              <w:sz w:val="16"/>
              <w:szCs w:val="16"/>
            </w:rPr>
          </w:pPr>
          <w:r>
            <w:rPr>
              <w:sz w:val="16"/>
              <w:szCs w:val="16"/>
            </w:rPr>
            <w:t>CÓDIGO</w:t>
          </w:r>
          <w:r>
            <w:rPr>
              <w:color w:val="3366FF"/>
              <w:sz w:val="16"/>
              <w:szCs w:val="16"/>
            </w:rPr>
            <w:t xml:space="preserve">: </w:t>
          </w:r>
          <w:r>
            <w:rPr>
              <w:sz w:val="16"/>
              <w:szCs w:val="16"/>
            </w:rPr>
            <w:t>GNV-FO-001</w:t>
          </w:r>
        </w:p>
      </w:tc>
    </w:tr>
    <w:tr w:rsidR="0001640C" w14:paraId="4F29585F" w14:textId="77777777">
      <w:trPr>
        <w:trHeight w:val="454"/>
      </w:trPr>
      <w:tc>
        <w:tcPr>
          <w:tcW w:w="2361" w:type="dxa"/>
          <w:vMerge/>
          <w:tcBorders>
            <w:top w:val="single" w:sz="4" w:space="0" w:color="000000"/>
            <w:left w:val="single" w:sz="4" w:space="0" w:color="000000"/>
            <w:right w:val="single" w:sz="4" w:space="0" w:color="000000"/>
          </w:tcBorders>
          <w:vAlign w:val="center"/>
        </w:tcPr>
        <w:p w14:paraId="79240DBD" w14:textId="77777777" w:rsidR="0001640C" w:rsidRDefault="0001640C">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77300D35" w14:textId="77777777" w:rsidR="0001640C" w:rsidRDefault="004B4533">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0977ACB5" w14:textId="77777777" w:rsidR="0001640C" w:rsidRDefault="004B4533">
          <w:pPr>
            <w:rPr>
              <w:sz w:val="16"/>
              <w:szCs w:val="16"/>
            </w:rPr>
          </w:pPr>
          <w:r>
            <w:rPr>
              <w:sz w:val="16"/>
              <w:szCs w:val="16"/>
            </w:rPr>
            <w:t>VERSIÓN:    02</w:t>
          </w:r>
        </w:p>
      </w:tc>
    </w:tr>
    <w:tr w:rsidR="0001640C" w14:paraId="15756C46" w14:textId="77777777">
      <w:trPr>
        <w:trHeight w:val="454"/>
      </w:trPr>
      <w:tc>
        <w:tcPr>
          <w:tcW w:w="2361" w:type="dxa"/>
          <w:vMerge/>
          <w:tcBorders>
            <w:top w:val="single" w:sz="4" w:space="0" w:color="000000"/>
            <w:left w:val="single" w:sz="4" w:space="0" w:color="000000"/>
            <w:right w:val="single" w:sz="4" w:space="0" w:color="000000"/>
          </w:tcBorders>
          <w:vAlign w:val="center"/>
        </w:tcPr>
        <w:p w14:paraId="00300C55" w14:textId="77777777" w:rsidR="0001640C" w:rsidRDefault="0001640C">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4E55C7DC" w14:textId="77777777" w:rsidR="0001640C" w:rsidRDefault="0001640C">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4BE1187E" w14:textId="77777777" w:rsidR="0001640C" w:rsidRDefault="004B4533">
          <w:pPr>
            <w:rPr>
              <w:sz w:val="16"/>
              <w:szCs w:val="16"/>
            </w:rPr>
          </w:pPr>
          <w:r>
            <w:rPr>
              <w:sz w:val="16"/>
              <w:szCs w:val="16"/>
            </w:rPr>
            <w:t>FECHA: 14-Nov-2019</w:t>
          </w:r>
        </w:p>
      </w:tc>
    </w:tr>
  </w:tbl>
  <w:p w14:paraId="54C76C61" w14:textId="77777777" w:rsidR="0001640C" w:rsidRDefault="004B4533">
    <w:pPr>
      <w:pBdr>
        <w:top w:val="nil"/>
        <w:left w:val="nil"/>
        <w:bottom w:val="nil"/>
        <w:right w:val="nil"/>
        <w:between w:val="nil"/>
      </w:pBdr>
      <w:tabs>
        <w:tab w:val="center" w:pos="4252"/>
        <w:tab w:val="right" w:pos="8504"/>
      </w:tabs>
    </w:pPr>
    <w:r>
      <w:rPr>
        <w:noProof/>
        <w:lang w:val="es-CO" w:eastAsia="es-CO"/>
      </w:rPr>
      <w:drawing>
        <wp:anchor distT="0" distB="0" distL="0" distR="0" simplePos="0" relativeHeight="251658240" behindDoc="1" locked="0" layoutInCell="1" hidden="0" allowOverlap="1" wp14:anchorId="431DB513" wp14:editId="65B87F21">
          <wp:simplePos x="0" y="0"/>
          <wp:positionH relativeFrom="column">
            <wp:posOffset>441325</wp:posOffset>
          </wp:positionH>
          <wp:positionV relativeFrom="paragraph">
            <wp:posOffset>-890268</wp:posOffset>
          </wp:positionV>
          <wp:extent cx="752475" cy="885825"/>
          <wp:effectExtent l="0" t="0" r="0" b="0"/>
          <wp:wrapNone/>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B12A7B"/>
    <w:multiLevelType w:val="multilevel"/>
    <w:tmpl w:val="D7FC6E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A4D6A4E"/>
    <w:multiLevelType w:val="multilevel"/>
    <w:tmpl w:val="EAD46C0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
      <w:lvlJc w:val="left"/>
      <w:pPr>
        <w:ind w:left="1080" w:hanging="360"/>
      </w:pPr>
      <w:rPr>
        <w:rFonts w:ascii="Noto Sans Symbols" w:eastAsia="Noto Sans Symbols" w:hAnsi="Noto Sans Symbols" w:cs="Noto Sans Symbols"/>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 w15:restartNumberingAfterBreak="0">
    <w:nsid w:val="449E1B1C"/>
    <w:multiLevelType w:val="multilevel"/>
    <w:tmpl w:val="8EDE3D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A9924C2"/>
    <w:multiLevelType w:val="multilevel"/>
    <w:tmpl w:val="C14E78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9414C80"/>
    <w:multiLevelType w:val="multilevel"/>
    <w:tmpl w:val="400A40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40C"/>
    <w:rsid w:val="0001640C"/>
    <w:rsid w:val="0012655F"/>
    <w:rsid w:val="001B37B8"/>
    <w:rsid w:val="001C2800"/>
    <w:rsid w:val="002A583B"/>
    <w:rsid w:val="00357E6E"/>
    <w:rsid w:val="004B4533"/>
    <w:rsid w:val="0057602A"/>
    <w:rsid w:val="0059787A"/>
    <w:rsid w:val="006A3DB7"/>
    <w:rsid w:val="00964E11"/>
    <w:rsid w:val="009903F9"/>
    <w:rsid w:val="009B1A77"/>
    <w:rsid w:val="00AE1AB6"/>
    <w:rsid w:val="00B57228"/>
    <w:rsid w:val="00BB3531"/>
    <w:rsid w:val="00CA47F0"/>
    <w:rsid w:val="00CA56C3"/>
    <w:rsid w:val="00CD63F9"/>
    <w:rsid w:val="00DB7D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B926F"/>
  <w15:docId w15:val="{A9F2C064-DD1B-564A-8D26-6B865FA98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F90"/>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uiPriority w:val="9"/>
    <w:semiHidden/>
    <w:unhideWhenUsed/>
    <w:qFormat/>
    <w:rsid w:val="00E55E23"/>
    <w:pPr>
      <w:keepNext/>
      <w:spacing w:before="240" w:after="60" w:line="259" w:lineRule="auto"/>
      <w:outlineLvl w:val="2"/>
    </w:pPr>
    <w:rPr>
      <w:rFonts w:ascii="Calibri Light" w:hAnsi="Calibri Light"/>
      <w:b/>
      <w:bCs/>
      <w:color w:val="auto"/>
      <w:sz w:val="26"/>
      <w:szCs w:val="26"/>
      <w:lang w:val="es-CO" w:eastAsia="en-US"/>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Ha,Resume Title,List1,LISTA,Párrafo de lista1,Bullet List,FooterText,numbered,List Paragraph1,Paragraphe de liste1,lp1,HOJA,Colorful List Accent 1,Colorful List - Accent 11,titulo 3,Colorful List - Accent 111,Bullets,Párrafo de lista2"/>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aliases w:val="Texto nota pie Car Car Car Car Car Car,Texto nota pie Car Car Car Car Car,Texto nota pie Car Car Car Car,Texto nota pie Car Car Car Car Car Car Car Car,Texto nota pie Car Car Car Car Car Ca,Texto nota pie Car Car Car Car Car Car Car,FA Fu"/>
    <w:basedOn w:val="Normal"/>
    <w:link w:val="TextonotapieCar"/>
    <w:uiPriority w:val="99"/>
    <w:unhideWhenUsed/>
    <w:rsid w:val="003E34FA"/>
    <w:rPr>
      <w:sz w:val="20"/>
    </w:rPr>
  </w:style>
  <w:style w:type="character" w:customStyle="1" w:styleId="TextonotapieCar">
    <w:name w:val="Texto nota pie Car"/>
    <w:aliases w:val="Texto nota pie Car Car Car Car Car Car Car1,Texto nota pie Car Car Car Car Car Car1,Texto nota pie Car Car Car Car Car1,Texto nota pie Car Car Car Car Car Car Car Car Car,Texto nota pie Car Car Car Car Car Ca Car,FA Fu Car"/>
    <w:basedOn w:val="Fuentedeprrafopredeter"/>
    <w:link w:val="Textonotapie"/>
    <w:uiPriority w:val="99"/>
    <w:rsid w:val="003E34FA"/>
    <w:rPr>
      <w:rFonts w:ascii="Arial" w:hAnsi="Arial"/>
      <w:color w:val="000000"/>
    </w:rPr>
  </w:style>
  <w:style w:type="character" w:styleId="Refdenotaalpie">
    <w:name w:val="footnote reference"/>
    <w:aliases w:val="Ref,de nota al pie"/>
    <w:uiPriority w:val="99"/>
    <w:rsid w:val="003E34FA"/>
    <w:rPr>
      <w:rFonts w:cs="Times New Roman"/>
      <w:vertAlign w:val="superscript"/>
    </w:rPr>
  </w:style>
  <w:style w:type="paragraph" w:styleId="NormalWeb">
    <w:name w:val="Normal (Web)"/>
    <w:basedOn w:val="Normal"/>
    <w:uiPriority w:val="99"/>
    <w:semiHidden/>
    <w:unhideWhenUsed/>
    <w:rsid w:val="00F707AE"/>
    <w:pPr>
      <w:spacing w:before="100" w:beforeAutospacing="1" w:after="100" w:afterAutospacing="1"/>
    </w:pPr>
    <w:rPr>
      <w:rFonts w:ascii="Times New Roman" w:hAnsi="Times New Roman"/>
      <w:color w:val="auto"/>
      <w:lang w:val="es-CO" w:eastAsia="es-CO"/>
    </w:rPr>
  </w:style>
  <w:style w:type="paragraph" w:styleId="Sinespaciado">
    <w:name w:val="No Spacing"/>
    <w:uiPriority w:val="1"/>
    <w:qFormat/>
    <w:rsid w:val="00D40037"/>
    <w:rPr>
      <w:rFonts w:ascii="Calibri" w:eastAsia="Calibri" w:hAnsi="Calibri"/>
      <w:sz w:val="22"/>
      <w:szCs w:val="22"/>
      <w:lang w:val="es-CO" w:eastAsia="en-US"/>
    </w:rPr>
  </w:style>
  <w:style w:type="character" w:customStyle="1" w:styleId="Ttulo3Car">
    <w:name w:val="Título 3 Car"/>
    <w:basedOn w:val="Fuentedeprrafopredeter"/>
    <w:link w:val="Ttulo3"/>
    <w:uiPriority w:val="9"/>
    <w:semiHidden/>
    <w:rsid w:val="00E55E23"/>
    <w:rPr>
      <w:rFonts w:ascii="Calibri Light" w:hAnsi="Calibri Light"/>
      <w:b/>
      <w:bCs/>
      <w:sz w:val="26"/>
      <w:szCs w:val="26"/>
      <w:lang w:val="es-CO" w:eastAsia="en-US"/>
    </w:rPr>
  </w:style>
  <w:style w:type="character" w:customStyle="1" w:styleId="Mencinsinresolver1">
    <w:name w:val="Mención sin resolver1"/>
    <w:uiPriority w:val="99"/>
    <w:semiHidden/>
    <w:unhideWhenUsed/>
    <w:rsid w:val="00E55E23"/>
    <w:rPr>
      <w:color w:val="605E5C"/>
      <w:shd w:val="clear" w:color="auto" w:fill="E1DFDD"/>
    </w:rPr>
  </w:style>
  <w:style w:type="paragraph" w:styleId="Textonotaalfinal">
    <w:name w:val="endnote text"/>
    <w:basedOn w:val="Normal"/>
    <w:link w:val="TextonotaalfinalCar"/>
    <w:uiPriority w:val="99"/>
    <w:semiHidden/>
    <w:unhideWhenUsed/>
    <w:rsid w:val="00E55E23"/>
    <w:pPr>
      <w:spacing w:after="160" w:line="259" w:lineRule="auto"/>
    </w:pPr>
    <w:rPr>
      <w:rFonts w:ascii="Calibri" w:eastAsia="Calibri" w:hAnsi="Calibri"/>
      <w:color w:val="auto"/>
      <w:sz w:val="20"/>
      <w:lang w:val="es-CO" w:eastAsia="en-US"/>
    </w:rPr>
  </w:style>
  <w:style w:type="character" w:customStyle="1" w:styleId="TextonotaalfinalCar">
    <w:name w:val="Texto nota al final Car"/>
    <w:basedOn w:val="Fuentedeprrafopredeter"/>
    <w:link w:val="Textonotaalfinal"/>
    <w:uiPriority w:val="99"/>
    <w:semiHidden/>
    <w:rsid w:val="00E55E23"/>
    <w:rPr>
      <w:rFonts w:ascii="Calibri" w:eastAsia="Calibri" w:hAnsi="Calibri"/>
      <w:lang w:val="es-CO" w:eastAsia="en-US"/>
    </w:rPr>
  </w:style>
  <w:style w:type="character" w:styleId="Refdenotaalfinal">
    <w:name w:val="endnote reference"/>
    <w:uiPriority w:val="99"/>
    <w:semiHidden/>
    <w:unhideWhenUsed/>
    <w:rsid w:val="00E55E23"/>
    <w:rPr>
      <w:vertAlign w:val="superscript"/>
    </w:rPr>
  </w:style>
  <w:style w:type="character" w:customStyle="1" w:styleId="PrrafodelistaCar">
    <w:name w:val="Párrafo de lista Car"/>
    <w:aliases w:val="Ha Car,Resume Title Car,List1 Car,LISTA Car,Párrafo de lista1 Car,Bullet List Car,FooterText Car,numbered Car,List Paragraph1 Car,Paragraphe de liste1 Car,lp1 Car,HOJA Car,Colorful List Accent 1 Car,Colorful List - Accent 11 Car"/>
    <w:link w:val="Prrafodelista"/>
    <w:uiPriority w:val="34"/>
    <w:qFormat/>
    <w:locked/>
    <w:rsid w:val="00E55E23"/>
    <w:rPr>
      <w:rFonts w:ascii="Arial" w:hAnsi="Arial"/>
      <w:color w:val="000000"/>
      <w:sz w:val="24"/>
    </w:rPr>
  </w:style>
  <w:style w:type="character" w:styleId="Hipervnculovisitado">
    <w:name w:val="FollowedHyperlink"/>
    <w:basedOn w:val="Fuentedeprrafopredeter"/>
    <w:uiPriority w:val="99"/>
    <w:semiHidden/>
    <w:unhideWhenUsed/>
    <w:rsid w:val="00E55E23"/>
    <w:rPr>
      <w:color w:val="800080" w:themeColor="followedHyperlink"/>
      <w:u w:val="single"/>
    </w:rPr>
  </w:style>
  <w:style w:type="character" w:customStyle="1" w:styleId="cite-bracket">
    <w:name w:val="cite-bracket"/>
    <w:basedOn w:val="Fuentedeprrafopredeter"/>
    <w:rsid w:val="0035269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es.wikipedia.org/wiki/Bogot%C3%A1" TargetMode="External"/><Relationship Id="rId18" Type="http://schemas.openxmlformats.org/officeDocument/2006/relationships/image" Target="media/image1.png"/><Relationship Id="rId26" Type="http://schemas.openxmlformats.org/officeDocument/2006/relationships/hyperlink" Target="https://es.wikipedia.org/wiki/Sarah_Bollo" TargetMode="External"/><Relationship Id="rId39" Type="http://schemas.openxmlformats.org/officeDocument/2006/relationships/footer" Target="footer1.xml"/><Relationship Id="rId21" Type="http://schemas.openxmlformats.org/officeDocument/2006/relationships/hyperlink" Target="https://es.wikipedia.org/wiki/Bartolom%C3%A9_Mitre" TargetMode="External"/><Relationship Id="rId34" Type="http://schemas.openxmlformats.org/officeDocument/2006/relationships/hyperlink" Target="http://www.eltiempo.com/archivo/documento/MAM-3899882"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s.wikipedia.org/wiki/La_Plata_(Huila)" TargetMode="External"/><Relationship Id="rId20" Type="http://schemas.openxmlformats.org/officeDocument/2006/relationships/hyperlink" Target="https://es.wikipedia.org/wiki/Argentina" TargetMode="External"/><Relationship Id="rId29" Type="http://schemas.openxmlformats.org/officeDocument/2006/relationships/hyperlink" Target="https://es.wikipedia.org/wiki/La_Villa_de_Los_Santos"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wikipedia.org/wiki/Policarpa_(Bogot%C3%A1)" TargetMode="External"/><Relationship Id="rId24" Type="http://schemas.openxmlformats.org/officeDocument/2006/relationships/hyperlink" Target="https://es.wikipedia.org/wiki/Per%C3%BA" TargetMode="External"/><Relationship Id="rId32" Type="http://schemas.openxmlformats.org/officeDocument/2006/relationships/hyperlink" Target="https://enciclopedia.banrepcultural.org/index.php/Policarpa_Salavarrieta" TargetMode="External"/><Relationship Id="rId37" Type="http://schemas.openxmlformats.org/officeDocument/2006/relationships/hyperlink" Target="https://www.eafit.edu.co/bicentenario/Paginas/policarpa-salavarrieta.aspx"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s.wikipedia.org/wiki/Ibagu%C3%A9" TargetMode="External"/><Relationship Id="rId23" Type="http://schemas.openxmlformats.org/officeDocument/2006/relationships/hyperlink" Target="https://es.wikipedia.org/wiki/Piura" TargetMode="External"/><Relationship Id="rId28" Type="http://schemas.openxmlformats.org/officeDocument/2006/relationships/hyperlink" Target="https://es.wikipedia.org/wiki/Rufina_Alfaro" TargetMode="External"/><Relationship Id="rId36" Type="http://schemas.openxmlformats.org/officeDocument/2006/relationships/hyperlink" Target="https://mujeresbacanas.com/policarpa-salavarrieta/" TargetMode="External"/><Relationship Id="rId10" Type="http://schemas.openxmlformats.org/officeDocument/2006/relationships/hyperlink" Target="https://es.wikipedia.org/wiki/Departamento_de_Nari%C3%B1o_(Colombia)" TargetMode="External"/><Relationship Id="rId19" Type="http://schemas.openxmlformats.org/officeDocument/2006/relationships/hyperlink" Target="https://es.wikipedia.org/wiki/Buenos_Aires" TargetMode="External"/><Relationship Id="rId31"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es.wikipedia.org/wiki/Policarpa" TargetMode="External"/><Relationship Id="rId14" Type="http://schemas.openxmlformats.org/officeDocument/2006/relationships/hyperlink" Target="https://es.wikipedia.org/wiki/TransMilenio" TargetMode="External"/><Relationship Id="rId22" Type="http://schemas.openxmlformats.org/officeDocument/2006/relationships/hyperlink" Target="https://es.wikipedia.org/wiki/Jos%C3%A9_Balta" TargetMode="External"/><Relationship Id="rId27" Type="http://schemas.openxmlformats.org/officeDocument/2006/relationships/hyperlink" Target="https://es.wikipedia.org/wiki/Panam%C3%A1" TargetMode="External"/><Relationship Id="rId30" Type="http://schemas.openxmlformats.org/officeDocument/2006/relationships/image" Target="media/image2.png"/><Relationship Id="rId35" Type="http://schemas.openxmlformats.org/officeDocument/2006/relationships/hyperlink" Target="https://doi.org/10.14718/CulturaLatinoam.2018.27.1.4" TargetMode="External"/><Relationship Id="rId8" Type="http://schemas.openxmlformats.org/officeDocument/2006/relationships/hyperlink" Target="https://es.wikipedia.org/wiki/La_Candelaria" TargetMode="External"/><Relationship Id="rId3" Type="http://schemas.openxmlformats.org/officeDocument/2006/relationships/styles" Target="styles.xml"/><Relationship Id="rId12" Type="http://schemas.openxmlformats.org/officeDocument/2006/relationships/hyperlink" Target="https://es.wikipedia.org/wiki/Antonio_Nari%C3%B1o_(Bogot%C3%A1)" TargetMode="External"/><Relationship Id="rId17" Type="http://schemas.openxmlformats.org/officeDocument/2006/relationships/hyperlink" Target="https://es.wikipedia.org/wiki/Monter%C3%ADa" TargetMode="External"/><Relationship Id="rId25" Type="http://schemas.openxmlformats.org/officeDocument/2006/relationships/hyperlink" Target="https://es.wikipedia.org/wiki/Rep%C3%BAblica_de_Uruguay" TargetMode="External"/><Relationship Id="rId33" Type="http://schemas.openxmlformats.org/officeDocument/2006/relationships/hyperlink" Target="https://doi.org/10.18359/prole.2501" TargetMode="External"/><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CIb+LlLAN0j2Q1OPmCHmQc8dgw==">CgMxLjA4AHIhMXlBbFZHblM0aWxLYmNRdlBlT2JGc3hzWUJ6TC12LUI2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6525</Words>
  <Characters>35892</Characters>
  <Application>Microsoft Office Word</Application>
  <DocSecurity>0</DocSecurity>
  <Lines>299</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GLORIA INES CELY LUNA</cp:lastModifiedBy>
  <cp:revision>2</cp:revision>
  <dcterms:created xsi:type="dcterms:W3CDTF">2025-05-05T15:13:00Z</dcterms:created>
  <dcterms:modified xsi:type="dcterms:W3CDTF">2025-05-05T15:13:00Z</dcterms:modified>
</cp:coreProperties>
</file>